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3FD74" w14:textId="77777777" w:rsidR="00FF3EB9" w:rsidRDefault="00E9371A">
      <w:pPr>
        <w:spacing w:after="120"/>
        <w:jc w:val="center"/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color w:val="00694A"/>
          <w:sz w:val="36"/>
          <w:szCs w:val="36"/>
        </w:rPr>
        <w:t>企业财务穿透诊断与量化评分</w:t>
      </w:r>
    </w:p>
    <w:p w14:paraId="4848FFA5" w14:textId="2E9DB819" w:rsidR="00FF3EB9" w:rsidRDefault="00E9371A">
      <w:pPr>
        <w:spacing w:after="120"/>
        <w:jc w:val="center"/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color w:val="00694A"/>
          <w:sz w:val="36"/>
          <w:szCs w:val="36"/>
        </w:rPr>
        <w:t>技能使用手册</w:t>
      </w:r>
    </w:p>
    <w:p w14:paraId="73AC636E" w14:textId="0391DAD0" w:rsidR="00E9371A" w:rsidRDefault="00E9371A" w:rsidP="00E9371A">
      <w:pPr>
        <w:spacing w:after="120"/>
        <w:jc w:val="center"/>
        <w:textAlignment w:val="center"/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</w:pPr>
      <w:r>
        <w:rPr>
          <w:rFonts w:ascii="微软雅黑" w:eastAsia="微软雅黑" w:hAnsi="微软雅黑" w:cs="宋体" w:hint="eastAsia"/>
          <w:b/>
          <w:bCs/>
          <w:color w:val="E36C09"/>
          <w:sz w:val="28"/>
          <w:szCs w:val="28"/>
        </w:rPr>
        <w:t>示例：</w:t>
      </w:r>
      <w:r w:rsidR="007D3168">
        <w:rPr>
          <w:rFonts w:ascii="微软雅黑" w:eastAsia="微软雅黑" w:hAnsi="微软雅黑" w:cs="宋体"/>
          <w:b/>
          <w:bCs/>
          <w:color w:val="E36C09"/>
          <w:sz w:val="28"/>
          <w:szCs w:val="28"/>
        </w:rPr>
        <w:object w:dxaOrig="1534" w:dyaOrig="1117" w14:anchorId="0D8421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5pt;height:55.5pt" o:ole="">
            <v:imagedata r:id="rId5" o:title=""/>
          </v:shape>
          <o:OLEObject Type="Embed" ProgID="Package" ShapeID="_x0000_i1027" DrawAspect="Icon" ObjectID="_1841400098" r:id="rId6"/>
        </w:object>
      </w:r>
      <w:r w:rsidR="007D3168">
        <w:rPr>
          <w:rFonts w:ascii="微软雅黑" w:eastAsia="微软雅黑" w:hAnsi="微软雅黑" w:cs="微软雅黑"/>
          <w:b/>
          <w:bCs/>
          <w:color w:val="00694A"/>
          <w:sz w:val="36"/>
          <w:szCs w:val="36"/>
        </w:rPr>
        <w:t xml:space="preserve"> </w:t>
      </w:r>
      <w:bookmarkStart w:id="0" w:name="_GoBack"/>
      <w:bookmarkEnd w:id="0"/>
    </w:p>
    <w:p w14:paraId="47F12203" w14:textId="77777777" w:rsidR="00FF3EB9" w:rsidRDefault="00E9371A">
      <w:pPr>
        <w:pStyle w:val="1"/>
        <w:spacing w:before="400" w:after="200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1.这个工具能帮你做什么？</w:t>
      </w:r>
    </w:p>
    <w:p w14:paraId="708E0006" w14:textId="77777777" w:rsidR="00FF3EB9" w:rsidRDefault="00E9371A">
      <w:pPr>
        <w:spacing w:after="12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企业财务穿透诊断与量化评分工具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（</w:t>
      </w:r>
      <w:proofErr w:type="spellStart"/>
      <w:r>
        <w:rPr>
          <w:rFonts w:ascii="微软雅黑" w:eastAsia="微软雅黑" w:hAnsi="微软雅黑" w:cs="微软雅黑"/>
          <w:color w:val="333333"/>
          <w:sz w:val="20"/>
          <w:szCs w:val="20"/>
        </w:rPr>
        <w:t>qd</w:t>
      </w:r>
      <w:proofErr w:type="spellEnd"/>
      <w:r>
        <w:rPr>
          <w:rFonts w:ascii="微软雅黑" w:eastAsia="微软雅黑" w:hAnsi="微软雅黑" w:cs="微软雅黑"/>
          <w:color w:val="333333"/>
          <w:sz w:val="20"/>
          <w:szCs w:val="20"/>
        </w:rPr>
        <w:t>-company-finance</w:t>
      </w:r>
      <w:r>
        <w:rPr>
          <w:rFonts w:ascii="微软雅黑" w:eastAsia="微软雅黑" w:hAnsi="微软雅黑" w:cs="微软雅黑" w:hint="eastAsia"/>
          <w:color w:val="333333"/>
          <w:sz w:val="20"/>
          <w:szCs w:val="20"/>
        </w:rPr>
        <w:t>）</w:t>
      </w:r>
      <w:r>
        <w:rPr>
          <w:rFonts w:ascii="微软雅黑" w:eastAsia="微软雅黑" w:hAnsi="微软雅黑" w:cs="微软雅黑"/>
          <w:color w:val="333333"/>
          <w:sz w:val="20"/>
          <w:szCs w:val="20"/>
        </w:rPr>
        <w:t>，输入企业年报数据（支持单家企业深度诊断或批量企业排行），自动完成静态截面体检、动态趋势穿透、人效杠杆诊断、量化评分、评级映射，输出结构化报告与排行榜。</w:t>
      </w:r>
    </w:p>
    <w:p w14:paraId="1E8FCC30" w14:textId="77777777" w:rsidR="00FF3EB9" w:rsidRDefault="00E9371A">
      <w:pPr>
        <w:spacing w:after="120"/>
        <w:jc w:val="left"/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  <w:t>核心价值</w:t>
      </w:r>
      <w:r>
        <w:rPr>
          <w:rFonts w:ascii="微软雅黑" w:eastAsia="微软雅黑" w:hAnsi="微软雅黑" w:cs="微软雅黑" w:hint="eastAsia"/>
          <w:b/>
          <w:bCs/>
          <w:color w:val="333333"/>
          <w:sz w:val="20"/>
          <w:szCs w:val="20"/>
        </w:rPr>
        <w:t>：</w:t>
      </w:r>
    </w:p>
    <w:p w14:paraId="09778C3E" w14:textId="77777777" w:rsidR="00FF3EB9" w:rsidRDefault="00E9371A">
      <w:pPr>
        <w:pStyle w:val="a"/>
        <w:spacing w:after="60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1F2D3D"/>
          <w:sz w:val="20"/>
          <w:szCs w:val="20"/>
        </w:rPr>
        <w:t>4维度量化评分（100分制）：财务安全 / 盈利质量 / 动态成长 / 人效杠杆</w:t>
      </w:r>
    </w:p>
    <w:p w14:paraId="0006F96D" w14:textId="77777777" w:rsidR="00FF3EB9" w:rsidRDefault="00E9371A">
      <w:pPr>
        <w:pStyle w:val="a"/>
        <w:spacing w:after="60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1F2D3D"/>
          <w:sz w:val="20"/>
          <w:szCs w:val="20"/>
        </w:rPr>
        <w:t>ROE杜邦分解：识别「杠杆幻觉」——去杠杆即塌方的伪优质企业</w:t>
      </w:r>
    </w:p>
    <w:p w14:paraId="35C235A5" w14:textId="77777777" w:rsidR="00FF3EB9" w:rsidRDefault="00E9371A">
      <w:pPr>
        <w:pStyle w:val="a"/>
        <w:spacing w:after="60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1F2D3D"/>
          <w:sz w:val="20"/>
          <w:szCs w:val="20"/>
        </w:rPr>
        <w:t>剪刀差穿透：规模与盈利、资产与营收、负债与资产的三维趋势对比</w:t>
      </w:r>
    </w:p>
    <w:p w14:paraId="376E8DE4" w14:textId="77777777" w:rsidR="00FF3EB9" w:rsidRDefault="00E9371A">
      <w:pPr>
        <w:pStyle w:val="a"/>
        <w:spacing w:after="60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1F2D3D"/>
          <w:sz w:val="20"/>
          <w:szCs w:val="20"/>
        </w:rPr>
        <w:t>生命周期定位：整固爬坡期 / 扩张红利期 / 粗放扩张期 / 战略整固期 / 高危维持期 / 衰退出清期</w:t>
      </w:r>
    </w:p>
    <w:p w14:paraId="4FAC9024" w14:textId="77777777" w:rsidR="00FF3EB9" w:rsidRDefault="00E9371A">
      <w:pPr>
        <w:pStyle w:val="a"/>
        <w:spacing w:after="60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1F2D3D"/>
          <w:sz w:val="20"/>
          <w:szCs w:val="20"/>
        </w:rPr>
        <w:t>批量排行：支持批量企业横向对比，输出 S/A/B/C/D 评级排行榜</w:t>
      </w:r>
    </w:p>
    <w:p w14:paraId="4163688D" w14:textId="77777777" w:rsidR="00FF3EB9" w:rsidRDefault="00E9371A">
      <w:pPr>
        <w:pStyle w:val="a"/>
        <w:spacing w:after="60"/>
        <w:rPr>
          <w:rFonts w:ascii="微软雅黑" w:eastAsia="微软雅黑" w:hAnsi="微软雅黑" w:cs="微软雅黑"/>
          <w:sz w:val="20"/>
          <w:szCs w:val="20"/>
        </w:rPr>
      </w:pPr>
      <w:r>
        <w:rPr>
          <w:rFonts w:ascii="微软雅黑" w:eastAsia="微软雅黑" w:hAnsi="微软雅黑" w:cs="微软雅黑" w:hint="eastAsia"/>
          <w:color w:val="1F2D3D"/>
          <w:sz w:val="20"/>
          <w:szCs w:val="20"/>
        </w:rPr>
        <w:t>适用场景：尽调、授信评审、投资筛选、批量排雷、</w:t>
      </w:r>
      <w:proofErr w:type="gramStart"/>
      <w:r>
        <w:rPr>
          <w:rFonts w:ascii="微软雅黑" w:eastAsia="微软雅黑" w:hAnsi="微软雅黑" w:cs="微软雅黑" w:hint="eastAsia"/>
          <w:color w:val="1F2D3D"/>
          <w:sz w:val="20"/>
          <w:szCs w:val="20"/>
        </w:rPr>
        <w:t>竞对对比</w:t>
      </w:r>
      <w:proofErr w:type="gramEnd"/>
    </w:p>
    <w:p w14:paraId="63FB5F33" w14:textId="77777777" w:rsidR="00FF3EB9" w:rsidRDefault="00E9371A">
      <w:pPr>
        <w:pStyle w:val="1"/>
        <w:spacing w:before="400" w:after="200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2.核心功能</w:t>
      </w:r>
    </w:p>
    <w:p w14:paraId="08C52ADC" w14:textId="77777777" w:rsidR="00FF3EB9" w:rsidRDefault="00E9371A">
      <w:pPr>
        <w:spacing w:after="12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支持单家企业深度诊断和批量企业对比排行，自动路由。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2"/>
        <w:gridCol w:w="6764"/>
      </w:tblGrid>
      <w:tr w:rsidR="00FF3EB9" w14:paraId="1FF392BA" w14:textId="77777777">
        <w:trPr>
          <w:tblHeader/>
        </w:trPr>
        <w:tc>
          <w:tcPr>
            <w:tcW w:w="1249" w:type="pct"/>
            <w:shd w:val="solid" w:color="00694A" w:fill="auto"/>
          </w:tcPr>
          <w:p w14:paraId="5CBB3692" w14:textId="77777777" w:rsidR="00FF3EB9" w:rsidRDefault="00E9371A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信息类别</w:t>
            </w:r>
          </w:p>
        </w:tc>
        <w:tc>
          <w:tcPr>
            <w:tcW w:w="3750" w:type="pct"/>
            <w:shd w:val="solid" w:color="00694A" w:fill="auto"/>
          </w:tcPr>
          <w:p w14:paraId="5F2219FB" w14:textId="77777777" w:rsidR="00FF3EB9" w:rsidRDefault="00E9371A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具体内容</w:t>
            </w:r>
          </w:p>
        </w:tc>
      </w:tr>
      <w:tr w:rsidR="00FF3EB9" w14:paraId="14EE17C5" w14:textId="77777777">
        <w:tc>
          <w:tcPr>
            <w:tcW w:w="2260" w:type="dxa"/>
          </w:tcPr>
          <w:p w14:paraId="7A83C97E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静态截面体检</w:t>
            </w:r>
          </w:p>
        </w:tc>
        <w:tc>
          <w:tcPr>
            <w:tcW w:w="6786" w:type="dxa"/>
          </w:tcPr>
          <w:p w14:paraId="00CC4471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资产负债率、主营业务聚焦度、ROE、营业净利率、实际税负率</w:t>
            </w:r>
          </w:p>
        </w:tc>
      </w:tr>
      <w:tr w:rsidR="00FF3EB9" w14:paraId="2FE52E7C" w14:textId="77777777">
        <w:tc>
          <w:tcPr>
            <w:tcW w:w="2260" w:type="dxa"/>
            <w:shd w:val="solid" w:color="F5F5F5" w:fill="auto"/>
          </w:tcPr>
          <w:p w14:paraId="6CE69403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ROE 杜邦分解</w:t>
            </w:r>
          </w:p>
        </w:tc>
        <w:tc>
          <w:tcPr>
            <w:tcW w:w="6786" w:type="dxa"/>
            <w:shd w:val="solid" w:color="F5F5F5" w:fill="auto"/>
          </w:tcPr>
          <w:p w14:paraId="12AC44F5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净利率 x 杠杆率 x 资产周转率，识别利润驱动 / 杠杆幻觉 / 周转驱动模式</w:t>
            </w:r>
          </w:p>
        </w:tc>
      </w:tr>
      <w:tr w:rsidR="00FF3EB9" w14:paraId="586CB8E4" w14:textId="77777777">
        <w:tc>
          <w:tcPr>
            <w:tcW w:w="2260" w:type="dxa"/>
          </w:tcPr>
          <w:p w14:paraId="7D4C0388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剪刀差穿透</w:t>
            </w:r>
          </w:p>
        </w:tc>
        <w:tc>
          <w:tcPr>
            <w:tcW w:w="6786" w:type="dxa"/>
          </w:tcPr>
          <w:p w14:paraId="7F9435B2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规模盈利剪刀差（ΔR vs ΔP） / 资产营收剪刀差（ΔA vs ΔR） / 负债结构演进</w:t>
            </w:r>
          </w:p>
        </w:tc>
      </w:tr>
      <w:tr w:rsidR="00FF3EB9" w14:paraId="18A7E5D2" w14:textId="77777777">
        <w:tc>
          <w:tcPr>
            <w:tcW w:w="2260" w:type="dxa"/>
            <w:shd w:val="solid" w:color="F5F5F5" w:fill="auto"/>
          </w:tcPr>
          <w:p w14:paraId="0B7EAA0F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生命周期定位</w:t>
            </w:r>
          </w:p>
        </w:tc>
        <w:tc>
          <w:tcPr>
            <w:tcW w:w="6786" w:type="dxa"/>
            <w:shd w:val="solid" w:color="F5F5F5" w:fill="auto"/>
          </w:tcPr>
          <w:p w14:paraId="2F596114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6种模式自动识别（整固爬坡期 / 扩张红利期 / 粗放扩张期 / 战略整固期 / 高危维持期 / 衰退出清期）</w:t>
            </w:r>
          </w:p>
        </w:tc>
      </w:tr>
      <w:tr w:rsidR="00FF3EB9" w14:paraId="35E2CA29" w14:textId="77777777">
        <w:tc>
          <w:tcPr>
            <w:tcW w:w="2260" w:type="dxa"/>
          </w:tcPr>
          <w:p w14:paraId="4ED1CECA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量化评分</w:t>
            </w:r>
          </w:p>
        </w:tc>
        <w:tc>
          <w:tcPr>
            <w:tcW w:w="6786" w:type="dxa"/>
          </w:tcPr>
          <w:p w14:paraId="2251C1BC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4维度25+30+25+20=100分制，输出 S/A/B/C/D 评级</w:t>
            </w:r>
          </w:p>
        </w:tc>
      </w:tr>
      <w:tr w:rsidR="00FF3EB9" w14:paraId="25EA956B" w14:textId="77777777">
        <w:tc>
          <w:tcPr>
            <w:tcW w:w="2260" w:type="dxa"/>
            <w:shd w:val="solid" w:color="F5F5F5" w:fill="auto"/>
          </w:tcPr>
          <w:p w14:paraId="6C2DC767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核心定性引擎</w:t>
            </w:r>
          </w:p>
        </w:tc>
        <w:tc>
          <w:tcPr>
            <w:tcW w:w="6786" w:type="dxa"/>
            <w:shd w:val="solid" w:color="F5F5F5" w:fill="auto"/>
          </w:tcPr>
          <w:p w14:paraId="7F4330D8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一句话定性 + ROE驱动 + 生命周期 + 核心隐忧 + Bull/Bear Case</w:t>
            </w:r>
          </w:p>
        </w:tc>
      </w:tr>
      <w:tr w:rsidR="00FF3EB9" w14:paraId="2CB68688" w14:textId="77777777">
        <w:tc>
          <w:tcPr>
            <w:tcW w:w="2260" w:type="dxa"/>
            <w:shd w:val="clear" w:color="auto" w:fill="auto"/>
          </w:tcPr>
          <w:p w14:paraId="733B161A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批量排行榜</w:t>
            </w:r>
          </w:p>
        </w:tc>
        <w:tc>
          <w:tcPr>
            <w:tcW w:w="6786" w:type="dxa"/>
            <w:shd w:val="clear" w:color="auto" w:fill="auto"/>
          </w:tcPr>
          <w:p w14:paraId="32F4DC6B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&gt;=2家企业自动触发，输出综合得分排行榜 + 评级分布 + 极化对比洞察</w:t>
            </w:r>
          </w:p>
        </w:tc>
      </w:tr>
    </w:tbl>
    <w:p w14:paraId="152C4556" w14:textId="77777777" w:rsidR="00FF3EB9" w:rsidRDefault="00E9371A">
      <w:pPr>
        <w:pStyle w:val="1"/>
        <w:spacing w:before="400" w:after="200"/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bCs/>
          <w:color w:val="333333"/>
          <w:sz w:val="20"/>
          <w:szCs w:val="20"/>
        </w:rPr>
        <w:t>评级映射：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"/>
        <w:gridCol w:w="1826"/>
        <w:gridCol w:w="2163"/>
        <w:gridCol w:w="4107"/>
      </w:tblGrid>
      <w:tr w:rsidR="00FF3EB9" w14:paraId="4461E473" w14:textId="77777777">
        <w:trPr>
          <w:tblHeader/>
        </w:trPr>
        <w:tc>
          <w:tcPr>
            <w:tcW w:w="893" w:type="dxa"/>
            <w:shd w:val="solid" w:color="00694A" w:fill="auto"/>
          </w:tcPr>
          <w:p w14:paraId="6C5FB8C3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</w:rPr>
              <w:lastRenderedPageBreak/>
              <w:t>评级</w:t>
            </w:r>
          </w:p>
        </w:tc>
        <w:tc>
          <w:tcPr>
            <w:tcW w:w="1826" w:type="dxa"/>
            <w:shd w:val="solid" w:color="00694A" w:fill="auto"/>
          </w:tcPr>
          <w:p w14:paraId="279693BA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</w:rPr>
              <w:t>分数区间</w:t>
            </w:r>
          </w:p>
        </w:tc>
        <w:tc>
          <w:tcPr>
            <w:tcW w:w="2164" w:type="dxa"/>
            <w:shd w:val="solid" w:color="00694A" w:fill="auto"/>
          </w:tcPr>
          <w:p w14:paraId="11C18C3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</w:rPr>
              <w:t>标签</w:t>
            </w:r>
          </w:p>
        </w:tc>
        <w:tc>
          <w:tcPr>
            <w:tcW w:w="4108" w:type="dxa"/>
            <w:shd w:val="solid" w:color="00694A" w:fill="auto"/>
          </w:tcPr>
          <w:p w14:paraId="59AE7081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</w:rPr>
              <w:t>含义</w:t>
            </w:r>
          </w:p>
        </w:tc>
      </w:tr>
      <w:tr w:rsidR="00FF3EB9" w14:paraId="3E08FC1A" w14:textId="77777777">
        <w:tc>
          <w:tcPr>
            <w:tcW w:w="497" w:type="pct"/>
            <w:vAlign w:val="center"/>
          </w:tcPr>
          <w:p w14:paraId="01BD6749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S</w:t>
            </w:r>
          </w:p>
        </w:tc>
        <w:tc>
          <w:tcPr>
            <w:tcW w:w="1015" w:type="pct"/>
            <w:vAlign w:val="center"/>
          </w:tcPr>
          <w:p w14:paraId="7A040545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90-100分</w:t>
            </w:r>
          </w:p>
        </w:tc>
        <w:tc>
          <w:tcPr>
            <w:tcW w:w="1203" w:type="pct"/>
            <w:vAlign w:val="center"/>
          </w:tcPr>
          <w:p w14:paraId="383551E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优质现金牛 / 独角兽</w:t>
            </w:r>
          </w:p>
        </w:tc>
        <w:tc>
          <w:tcPr>
            <w:tcW w:w="2284" w:type="pct"/>
            <w:vAlign w:val="center"/>
          </w:tcPr>
          <w:p w14:paraId="68448769" w14:textId="77777777" w:rsidR="00FF3EB9" w:rsidRDefault="00E9371A">
            <w:pPr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财务极度健康，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人效与利润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双高，扩张高效</w:t>
            </w:r>
          </w:p>
        </w:tc>
      </w:tr>
      <w:tr w:rsidR="00FF3EB9" w14:paraId="069864E4" w14:textId="77777777">
        <w:tc>
          <w:tcPr>
            <w:tcW w:w="497" w:type="pct"/>
            <w:shd w:val="solid" w:color="F5F5F5" w:fill="auto"/>
            <w:vAlign w:val="center"/>
          </w:tcPr>
          <w:p w14:paraId="27868D37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A</w:t>
            </w:r>
          </w:p>
        </w:tc>
        <w:tc>
          <w:tcPr>
            <w:tcW w:w="1015" w:type="pct"/>
            <w:shd w:val="solid" w:color="F5F5F5" w:fill="auto"/>
            <w:vAlign w:val="center"/>
          </w:tcPr>
          <w:p w14:paraId="7E85A3AC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75-89分</w:t>
            </w:r>
          </w:p>
        </w:tc>
        <w:tc>
          <w:tcPr>
            <w:tcW w:w="1203" w:type="pct"/>
            <w:shd w:val="solid" w:color="F5F5F5" w:fill="auto"/>
            <w:vAlign w:val="center"/>
          </w:tcPr>
          <w:p w14:paraId="3F1BD69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稳健成长型</w:t>
            </w:r>
          </w:p>
        </w:tc>
        <w:tc>
          <w:tcPr>
            <w:tcW w:w="2284" w:type="pct"/>
            <w:shd w:val="solid" w:color="F5F5F5" w:fill="auto"/>
            <w:vAlign w:val="center"/>
          </w:tcPr>
          <w:p w14:paraId="4BC7C6E2" w14:textId="77777777" w:rsidR="00FF3EB9" w:rsidRDefault="00E9371A">
            <w:pPr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基本面良好，主业稳固，偶有扩张期财务波动</w:t>
            </w:r>
          </w:p>
        </w:tc>
      </w:tr>
      <w:tr w:rsidR="00FF3EB9" w14:paraId="2DA42C1D" w14:textId="77777777">
        <w:tc>
          <w:tcPr>
            <w:tcW w:w="497" w:type="pct"/>
            <w:vAlign w:val="center"/>
          </w:tcPr>
          <w:p w14:paraId="5D894944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B</w:t>
            </w:r>
          </w:p>
        </w:tc>
        <w:tc>
          <w:tcPr>
            <w:tcW w:w="1015" w:type="pct"/>
            <w:vAlign w:val="center"/>
          </w:tcPr>
          <w:p w14:paraId="77D45770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60-74分</w:t>
            </w:r>
          </w:p>
        </w:tc>
        <w:tc>
          <w:tcPr>
            <w:tcW w:w="1203" w:type="pct"/>
            <w:vAlign w:val="center"/>
          </w:tcPr>
          <w:p w14:paraId="38DC993B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行业平庸型 / 转型阵痛期</w:t>
            </w:r>
          </w:p>
        </w:tc>
        <w:tc>
          <w:tcPr>
            <w:tcW w:w="2284" w:type="pct"/>
            <w:vAlign w:val="center"/>
          </w:tcPr>
          <w:p w14:paraId="2D685541" w14:textId="77777777" w:rsidR="00FF3EB9" w:rsidRDefault="00E9371A">
            <w:pPr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勉强维持，可能存在增收不增利或重资产拖累</w:t>
            </w:r>
          </w:p>
        </w:tc>
      </w:tr>
      <w:tr w:rsidR="00FF3EB9" w14:paraId="40021825" w14:textId="77777777">
        <w:tc>
          <w:tcPr>
            <w:tcW w:w="497" w:type="pct"/>
            <w:shd w:val="solid" w:color="F5F5F5" w:fill="auto"/>
            <w:vAlign w:val="center"/>
          </w:tcPr>
          <w:p w14:paraId="12880255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C</w:t>
            </w:r>
          </w:p>
        </w:tc>
        <w:tc>
          <w:tcPr>
            <w:tcW w:w="1015" w:type="pct"/>
            <w:shd w:val="solid" w:color="F5F5F5" w:fill="auto"/>
            <w:vAlign w:val="center"/>
          </w:tcPr>
          <w:p w14:paraId="33714A76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40-59分</w:t>
            </w:r>
          </w:p>
        </w:tc>
        <w:tc>
          <w:tcPr>
            <w:tcW w:w="1203" w:type="pct"/>
            <w:shd w:val="solid" w:color="F5F5F5" w:fill="auto"/>
            <w:vAlign w:val="center"/>
          </w:tcPr>
          <w:p w14:paraId="2BF52318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高危亚健康</w:t>
            </w:r>
          </w:p>
        </w:tc>
        <w:tc>
          <w:tcPr>
            <w:tcW w:w="2284" w:type="pct"/>
            <w:shd w:val="solid" w:color="F5F5F5" w:fill="auto"/>
            <w:vAlign w:val="center"/>
          </w:tcPr>
          <w:p w14:paraId="372B0B9C" w14:textId="77777777" w:rsidR="00FF3EB9" w:rsidRDefault="00E9371A">
            <w:pPr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明显失血（杠杆率畸高、主业萎缩或人效暴跌），需极度谨慎</w:t>
            </w:r>
          </w:p>
        </w:tc>
      </w:tr>
      <w:tr w:rsidR="00FF3EB9" w14:paraId="3B1CDF7E" w14:textId="77777777">
        <w:tc>
          <w:tcPr>
            <w:tcW w:w="497" w:type="pct"/>
            <w:vAlign w:val="center"/>
          </w:tcPr>
          <w:p w14:paraId="3E554200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D</w:t>
            </w:r>
          </w:p>
        </w:tc>
        <w:tc>
          <w:tcPr>
            <w:tcW w:w="1015" w:type="pct"/>
            <w:vAlign w:val="center"/>
          </w:tcPr>
          <w:p w14:paraId="5F077C1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&lt;40分</w:t>
            </w:r>
          </w:p>
        </w:tc>
        <w:tc>
          <w:tcPr>
            <w:tcW w:w="1203" w:type="pct"/>
            <w:vAlign w:val="center"/>
          </w:tcPr>
          <w:p w14:paraId="48A6002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衰退破产预警</w:t>
            </w:r>
          </w:p>
        </w:tc>
        <w:tc>
          <w:tcPr>
            <w:tcW w:w="2284" w:type="pct"/>
            <w:vAlign w:val="center"/>
          </w:tcPr>
          <w:p w14:paraId="32D19061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资产营收严重倒挂，持续亏损且负债爆表，建议直接拉黑</w:t>
            </w:r>
          </w:p>
        </w:tc>
      </w:tr>
    </w:tbl>
    <w:p w14:paraId="1DD25642" w14:textId="77777777" w:rsidR="00FF3EB9" w:rsidRDefault="00FF3EB9">
      <w:pPr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</w:pPr>
    </w:p>
    <w:p w14:paraId="7A074251" w14:textId="77777777" w:rsidR="00FF3EB9" w:rsidRDefault="00E9371A">
      <w:pPr>
        <w:spacing w:after="120"/>
        <w:jc w:val="left"/>
      </w:pPr>
      <w:r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  <w:t>3.快速上手</w:t>
      </w:r>
    </w:p>
    <w:p w14:paraId="22CE28E1" w14:textId="77777777" w:rsidR="00FF3EB9" w:rsidRDefault="00E9371A">
      <w:pPr>
        <w:spacing w:after="8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你想知道什么，这样说就行：</w:t>
      </w: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2"/>
        <w:gridCol w:w="5393"/>
      </w:tblGrid>
      <w:tr w:rsidR="00FF3EB9" w14:paraId="7F7CE04A" w14:textId="77777777">
        <w:trPr>
          <w:tblHeader/>
        </w:trPr>
        <w:tc>
          <w:tcPr>
            <w:tcW w:w="1999" w:type="pct"/>
            <w:shd w:val="solid" w:color="00694A" w:fill="auto"/>
          </w:tcPr>
          <w:p w14:paraId="6402624D" w14:textId="77777777" w:rsidR="00FF3EB9" w:rsidRDefault="00E9371A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你想知道</w:t>
            </w:r>
          </w:p>
        </w:tc>
        <w:tc>
          <w:tcPr>
            <w:tcW w:w="3000" w:type="pct"/>
            <w:shd w:val="solid" w:color="00694A" w:fill="auto"/>
          </w:tcPr>
          <w:p w14:paraId="69A551CF" w14:textId="77777777" w:rsidR="00FF3EB9" w:rsidRDefault="00E9371A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这样说</w:t>
            </w:r>
          </w:p>
        </w:tc>
      </w:tr>
      <w:tr w:rsidR="00FF3EB9" w14:paraId="5CC245CC" w14:textId="77777777">
        <w:tc>
          <w:tcPr>
            <w:tcW w:w="1999" w:type="pct"/>
            <w:vAlign w:val="center"/>
          </w:tcPr>
          <w:p w14:paraId="6648B573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单家企业财务诊断</w:t>
            </w:r>
          </w:p>
        </w:tc>
        <w:tc>
          <w:tcPr>
            <w:tcW w:w="3000" w:type="pct"/>
            <w:vAlign w:val="center"/>
          </w:tcPr>
          <w:p w14:paraId="2EE499D7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「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腾讯财务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分析」/「宁德时代年报数据」/「某公司财务穿透诊断」</w:t>
            </w:r>
          </w:p>
        </w:tc>
      </w:tr>
      <w:tr w:rsidR="00FF3EB9" w14:paraId="676128CB" w14:textId="77777777">
        <w:tc>
          <w:tcPr>
            <w:tcW w:w="1999" w:type="pct"/>
            <w:shd w:val="solid" w:color="F5F5F5" w:fill="auto"/>
            <w:vAlign w:val="center"/>
          </w:tcPr>
          <w:p w14:paraId="7977C2F7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批量企业财务排行</w:t>
            </w:r>
          </w:p>
        </w:tc>
        <w:tc>
          <w:tcPr>
            <w:tcW w:w="3000" w:type="pct"/>
            <w:shd w:val="solid" w:color="F5F5F5" w:fill="auto"/>
            <w:vAlign w:val="center"/>
          </w:tcPr>
          <w:p w14:paraId="7CEA59BF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「帮我对比以下企业的财务指标：华为/宁德/比亚迪」</w:t>
            </w:r>
          </w:p>
        </w:tc>
      </w:tr>
      <w:tr w:rsidR="00FF3EB9" w14:paraId="360BF981" w14:textId="77777777">
        <w:tc>
          <w:tcPr>
            <w:tcW w:w="1999" w:type="pct"/>
            <w:vAlign w:val="center"/>
          </w:tcPr>
          <w:p w14:paraId="30DAF109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批量 Excel 导入排行</w:t>
            </w:r>
          </w:p>
        </w:tc>
        <w:tc>
          <w:tcPr>
            <w:tcW w:w="3000" w:type="pct"/>
            <w:vAlign w:val="center"/>
          </w:tcPr>
          <w:p w14:paraId="76F4CBD0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「这是我的企业年报数据，请批量分析」+ 上传 Excel</w:t>
            </w:r>
          </w:p>
        </w:tc>
      </w:tr>
      <w:tr w:rsidR="00FF3EB9" w14:paraId="6F2F2CF2" w14:textId="77777777">
        <w:tc>
          <w:tcPr>
            <w:tcW w:w="1999" w:type="pct"/>
            <w:shd w:val="solid" w:color="F5F5F5" w:fill="auto"/>
            <w:vAlign w:val="center"/>
          </w:tcPr>
          <w:p w14:paraId="79D0DD15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Excel 生成排行榜</w:t>
            </w:r>
          </w:p>
        </w:tc>
        <w:tc>
          <w:tcPr>
            <w:tcW w:w="3000" w:type="pct"/>
            <w:shd w:val="solid" w:color="F5F5F5" w:fill="auto"/>
            <w:vAlign w:val="center"/>
          </w:tcPr>
          <w:p w14:paraId="59BDE048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「请生成财务量化评分排行榜，Excel输出」</w:t>
            </w:r>
          </w:p>
        </w:tc>
      </w:tr>
      <w:tr w:rsidR="00FF3EB9" w14:paraId="4DF44A09" w14:textId="77777777">
        <w:tc>
          <w:tcPr>
            <w:tcW w:w="1999" w:type="pct"/>
            <w:vAlign w:val="center"/>
          </w:tcPr>
          <w:p w14:paraId="122ACE00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人效专项诊断</w:t>
            </w:r>
          </w:p>
        </w:tc>
        <w:tc>
          <w:tcPr>
            <w:tcW w:w="3000" w:type="pct"/>
            <w:vAlign w:val="center"/>
          </w:tcPr>
          <w:p w14:paraId="6E923B4F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「分析某公司的人效杠杆和员工效能」</w:t>
            </w:r>
          </w:p>
        </w:tc>
      </w:tr>
      <w:tr w:rsidR="00FF3EB9" w14:paraId="0B91FDA4" w14:textId="77777777">
        <w:tc>
          <w:tcPr>
            <w:tcW w:w="1999" w:type="pct"/>
            <w:shd w:val="solid" w:color="F5F5F5" w:fill="auto"/>
            <w:vAlign w:val="center"/>
          </w:tcPr>
          <w:p w14:paraId="72ADBA22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ROE 专项诊断</w:t>
            </w:r>
          </w:p>
        </w:tc>
        <w:tc>
          <w:tcPr>
            <w:tcW w:w="3000" w:type="pct"/>
            <w:shd w:val="solid" w:color="F5F5F5" w:fill="auto"/>
            <w:vAlign w:val="center"/>
          </w:tcPr>
          <w:p w14:paraId="0ABB8E96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「分析某公司的杜邦分解和杠杆幻觉」</w:t>
            </w:r>
          </w:p>
        </w:tc>
      </w:tr>
      <w:tr w:rsidR="00FF3EB9" w14:paraId="39F38180" w14:textId="77777777">
        <w:tc>
          <w:tcPr>
            <w:tcW w:w="1999" w:type="pct"/>
            <w:vAlign w:val="center"/>
          </w:tcPr>
          <w:p w14:paraId="1127C1DE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与 HTML 报告联动</w:t>
            </w:r>
          </w:p>
        </w:tc>
        <w:tc>
          <w:tcPr>
            <w:tcW w:w="3000" w:type="pct"/>
            <w:vAlign w:val="center"/>
          </w:tcPr>
          <w:p w14:paraId="759C8D00" w14:textId="77777777" w:rsidR="00FF3EB9" w:rsidRDefault="00E9371A">
            <w:pPr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「生成某公司的财务分析报告，经济学人风格」</w:t>
            </w:r>
          </w:p>
        </w:tc>
      </w:tr>
    </w:tbl>
    <w:p w14:paraId="672F7299" w14:textId="77777777" w:rsidR="00FF3EB9" w:rsidRDefault="00E9371A">
      <w:pPr>
        <w:spacing w:after="80"/>
        <w:jc w:val="left"/>
      </w:pPr>
      <w:r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  <w:t>还可以这样问：</w:t>
      </w:r>
    </w:p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92"/>
        <w:gridCol w:w="5393"/>
      </w:tblGrid>
      <w:tr w:rsidR="00FF3EB9" w14:paraId="3E4C49E4" w14:textId="77777777">
        <w:trPr>
          <w:tblHeader/>
        </w:trPr>
        <w:tc>
          <w:tcPr>
            <w:tcW w:w="1999" w:type="pct"/>
            <w:shd w:val="solid" w:color="00694A" w:fill="auto"/>
          </w:tcPr>
          <w:p w14:paraId="30781FB7" w14:textId="77777777" w:rsidR="00FF3EB9" w:rsidRDefault="00E9371A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你可以这样问</w:t>
            </w:r>
          </w:p>
        </w:tc>
        <w:tc>
          <w:tcPr>
            <w:tcW w:w="3000" w:type="pct"/>
            <w:shd w:val="solid" w:color="00694A" w:fill="auto"/>
          </w:tcPr>
          <w:p w14:paraId="7B47B3CA" w14:textId="77777777" w:rsidR="00FF3EB9" w:rsidRDefault="00E9371A">
            <w:pPr>
              <w:jc w:val="center"/>
            </w:pPr>
            <w:r>
              <w:rPr>
                <w:rFonts w:ascii="微软雅黑" w:eastAsia="微软雅黑" w:hAnsi="微软雅黑" w:cs="微软雅黑"/>
                <w:b/>
                <w:bCs/>
                <w:color w:val="FFFFFF"/>
                <w:sz w:val="20"/>
                <w:szCs w:val="20"/>
              </w:rPr>
              <w:t>输出内容</w:t>
            </w:r>
          </w:p>
        </w:tc>
      </w:tr>
      <w:tr w:rsidR="00FF3EB9" w14:paraId="45BEAF22" w14:textId="77777777">
        <w:tc>
          <w:tcPr>
            <w:tcW w:w="1999" w:type="pct"/>
          </w:tcPr>
          <w:p w14:paraId="320ED06A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[公司]财务健康吗</w:t>
            </w:r>
          </w:p>
        </w:tc>
        <w:tc>
          <w:tcPr>
            <w:tcW w:w="3000" w:type="pct"/>
          </w:tcPr>
          <w:p w14:paraId="534E4BCD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一句话定性 + 综合评分 + 核心风险/优势</w:t>
            </w:r>
          </w:p>
        </w:tc>
      </w:tr>
      <w:tr w:rsidR="00FF3EB9" w14:paraId="396C9CF8" w14:textId="77777777">
        <w:tc>
          <w:tcPr>
            <w:tcW w:w="1999" w:type="pct"/>
            <w:shd w:val="solid" w:color="F5F5F5" w:fill="auto"/>
          </w:tcPr>
          <w:p w14:paraId="7657CBCA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[公司]的 ROE 驱动模式是什么</w:t>
            </w:r>
          </w:p>
        </w:tc>
        <w:tc>
          <w:tcPr>
            <w:tcW w:w="3000" w:type="pct"/>
            <w:shd w:val="solid" w:color="F5F5F5" w:fill="auto"/>
          </w:tcPr>
          <w:p w14:paraId="112DE154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杜邦分解 + 杠杆幻觉识别</w:t>
            </w:r>
          </w:p>
        </w:tc>
      </w:tr>
      <w:tr w:rsidR="00FF3EB9" w14:paraId="546D1568" w14:textId="77777777">
        <w:tc>
          <w:tcPr>
            <w:tcW w:w="1999" w:type="pct"/>
          </w:tcPr>
          <w:p w14:paraId="410E28FF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[公司]是哪种生命周期阶段</w:t>
            </w:r>
          </w:p>
        </w:tc>
        <w:tc>
          <w:tcPr>
            <w:tcW w:w="3000" w:type="pct"/>
          </w:tcPr>
          <w:p w14:paraId="08726012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生命周期定位 + 趋势判断</w:t>
            </w:r>
          </w:p>
        </w:tc>
      </w:tr>
      <w:tr w:rsidR="00FF3EB9" w14:paraId="498F8305" w14:textId="77777777">
        <w:tc>
          <w:tcPr>
            <w:tcW w:w="1999" w:type="pct"/>
            <w:shd w:val="solid" w:color="F5F5F5" w:fill="auto"/>
          </w:tcPr>
          <w:p w14:paraId="0C3FAB20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[公司]有没有财务风险</w:t>
            </w:r>
          </w:p>
        </w:tc>
        <w:tc>
          <w:tcPr>
            <w:tcW w:w="3000" w:type="pct"/>
            <w:shd w:val="solid" w:color="F5F5F5" w:fill="auto"/>
          </w:tcPr>
          <w:p w14:paraId="394C5059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剪刀差穿透 + 风险信号识别</w:t>
            </w:r>
          </w:p>
        </w:tc>
      </w:tr>
      <w:tr w:rsidR="00FF3EB9" w14:paraId="741E9196" w14:textId="77777777">
        <w:tc>
          <w:tcPr>
            <w:tcW w:w="1999" w:type="pct"/>
          </w:tcPr>
          <w:p w14:paraId="6AC144F5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对比[公司A]和[公司B]的财务</w:t>
            </w:r>
          </w:p>
        </w:tc>
        <w:tc>
          <w:tcPr>
            <w:tcW w:w="3000" w:type="pct"/>
          </w:tcPr>
          <w:p w14:paraId="044CA5C6" w14:textId="77777777" w:rsidR="00FF3EB9" w:rsidRDefault="00E9371A">
            <w:pPr>
              <w:rPr>
                <w:rFonts w:ascii="微软雅黑" w:eastAsia="微软雅黑" w:hAnsi="微软雅黑" w:cs="微软雅黑"/>
                <w:sz w:val="20"/>
                <w:szCs w:val="20"/>
              </w:rPr>
            </w:pPr>
            <w:proofErr w:type="gramStart"/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双企业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对比 + 极化洞察 + 关键差异</w:t>
            </w:r>
          </w:p>
        </w:tc>
      </w:tr>
    </w:tbl>
    <w:p w14:paraId="1230C89C" w14:textId="77777777" w:rsidR="00FF3EB9" w:rsidRDefault="00E9371A">
      <w:pPr>
        <w:spacing w:after="120"/>
        <w:jc w:val="left"/>
        <w:rPr>
          <w:rFonts w:ascii="微软雅黑" w:eastAsia="微软雅黑" w:hAnsi="微软雅黑" w:cs="微软雅黑"/>
          <w:b/>
          <w:bCs/>
          <w:color w:val="00694A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color w:val="00694A"/>
          <w:sz w:val="28"/>
          <w:szCs w:val="28"/>
        </w:rPr>
        <w:t>4.分析内容</w:t>
      </w:r>
    </w:p>
    <w:p w14:paraId="3C7654CE" w14:textId="77777777" w:rsidR="00FF3EB9" w:rsidRDefault="00E9371A">
      <w:pPr>
        <w:widowControl/>
        <w:spacing w:before="240" w:after="80" w:line="276" w:lineRule="auto"/>
        <w:jc w:val="left"/>
        <w:rPr>
          <w:rFonts w:ascii="微软雅黑" w:eastAsia="微软雅黑" w:hAnsi="微软雅黑" w:cs="微软雅黑"/>
          <w:b/>
          <w:bCs/>
          <w:color w:val="00694A"/>
          <w:sz w:val="22"/>
        </w:rPr>
      </w:pPr>
      <w:r>
        <w:rPr>
          <w:rFonts w:ascii="微软雅黑" w:eastAsia="微软雅黑" w:hAnsi="微软雅黑" w:cs="微软雅黑" w:hint="eastAsia"/>
          <w:b/>
          <w:bCs/>
          <w:color w:val="00694A"/>
          <w:sz w:val="22"/>
        </w:rPr>
        <w:t>4.1 Excel 输入格式</w:t>
      </w:r>
    </w:p>
    <w:p w14:paraId="02453E31" w14:textId="77777777" w:rsidR="00FF3EB9" w:rsidRDefault="00E9371A">
      <w:pPr>
        <w:spacing w:after="8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批量分析时，请按以下格式整理 Excel 数据（金额单位：万元）：</w:t>
      </w: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1"/>
        <w:gridCol w:w="5374"/>
      </w:tblGrid>
      <w:tr w:rsidR="00FF3EB9" w14:paraId="12A892AD" w14:textId="77777777">
        <w:trPr>
          <w:tblHeader/>
        </w:trPr>
        <w:tc>
          <w:tcPr>
            <w:tcW w:w="3593" w:type="dxa"/>
            <w:shd w:val="solid" w:color="00694A" w:fill="auto"/>
          </w:tcPr>
          <w:p w14:paraId="0FADE54A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</w:rPr>
              <w:t>列名</w:t>
            </w:r>
          </w:p>
        </w:tc>
        <w:tc>
          <w:tcPr>
            <w:tcW w:w="5392" w:type="dxa"/>
            <w:shd w:val="solid" w:color="00694A" w:fill="auto"/>
          </w:tcPr>
          <w:p w14:paraId="71E7BED6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</w:rPr>
              <w:t>说明</w:t>
            </w:r>
          </w:p>
        </w:tc>
      </w:tr>
      <w:tr w:rsidR="00FF3EB9" w14:paraId="49479409" w14:textId="77777777">
        <w:tc>
          <w:tcPr>
            <w:tcW w:w="3593" w:type="dxa"/>
          </w:tcPr>
          <w:p w14:paraId="531F6C58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企业名称</w:t>
            </w:r>
          </w:p>
        </w:tc>
        <w:tc>
          <w:tcPr>
            <w:tcW w:w="5392" w:type="dxa"/>
          </w:tcPr>
          <w:p w14:paraId="05BB037F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公司名称全称</w:t>
            </w:r>
          </w:p>
        </w:tc>
      </w:tr>
      <w:tr w:rsidR="00FF3EB9" w14:paraId="4C3E3915" w14:textId="77777777">
        <w:tc>
          <w:tcPr>
            <w:tcW w:w="3593" w:type="dxa"/>
            <w:shd w:val="solid" w:color="F5F5F5" w:fill="auto"/>
          </w:tcPr>
          <w:p w14:paraId="63A5A5B1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年份</w:t>
            </w:r>
          </w:p>
        </w:tc>
        <w:tc>
          <w:tcPr>
            <w:tcW w:w="5392" w:type="dxa"/>
            <w:shd w:val="solid" w:color="F5F5F5" w:fill="auto"/>
          </w:tcPr>
          <w:p w14:paraId="107ACE31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年报年份，如 2023</w:t>
            </w:r>
          </w:p>
        </w:tc>
      </w:tr>
      <w:tr w:rsidR="00FF3EB9" w14:paraId="6804ED27" w14:textId="77777777">
        <w:tc>
          <w:tcPr>
            <w:tcW w:w="3593" w:type="dxa"/>
          </w:tcPr>
          <w:p w14:paraId="049CE5D0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从业人数</w:t>
            </w:r>
          </w:p>
        </w:tc>
        <w:tc>
          <w:tcPr>
            <w:tcW w:w="5392" w:type="dxa"/>
          </w:tcPr>
          <w:p w14:paraId="2F30BACC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年末从业人员数（整数）</w:t>
            </w:r>
          </w:p>
        </w:tc>
      </w:tr>
      <w:tr w:rsidR="00FF3EB9" w14:paraId="33EF1368" w14:textId="77777777">
        <w:tc>
          <w:tcPr>
            <w:tcW w:w="3593" w:type="dxa"/>
            <w:shd w:val="solid" w:color="F5F5F5" w:fill="auto"/>
          </w:tcPr>
          <w:p w14:paraId="29D4883F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资产总额</w:t>
            </w:r>
          </w:p>
        </w:tc>
        <w:tc>
          <w:tcPr>
            <w:tcW w:w="5392" w:type="dxa"/>
            <w:shd w:val="solid" w:color="F5F5F5" w:fill="auto"/>
          </w:tcPr>
          <w:p w14:paraId="2AD28076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万元</w:t>
            </w:r>
          </w:p>
        </w:tc>
      </w:tr>
      <w:tr w:rsidR="00FF3EB9" w14:paraId="38D6A301" w14:textId="77777777">
        <w:tc>
          <w:tcPr>
            <w:tcW w:w="3593" w:type="dxa"/>
          </w:tcPr>
          <w:p w14:paraId="4302FFD6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lastRenderedPageBreak/>
              <w:t>负债总额</w:t>
            </w:r>
          </w:p>
        </w:tc>
        <w:tc>
          <w:tcPr>
            <w:tcW w:w="5392" w:type="dxa"/>
          </w:tcPr>
          <w:p w14:paraId="257C54F5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万元</w:t>
            </w:r>
          </w:p>
        </w:tc>
      </w:tr>
      <w:tr w:rsidR="00FF3EB9" w14:paraId="3763E153" w14:textId="77777777">
        <w:tc>
          <w:tcPr>
            <w:tcW w:w="3593" w:type="dxa"/>
            <w:shd w:val="solid" w:color="F5F5F5" w:fill="auto"/>
          </w:tcPr>
          <w:p w14:paraId="77FFE1DE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营业总收入</w:t>
            </w:r>
          </w:p>
        </w:tc>
        <w:tc>
          <w:tcPr>
            <w:tcW w:w="5392" w:type="dxa"/>
            <w:shd w:val="solid" w:color="F5F5F5" w:fill="auto"/>
          </w:tcPr>
          <w:p w14:paraId="067D31BE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万元</w:t>
            </w:r>
          </w:p>
        </w:tc>
      </w:tr>
      <w:tr w:rsidR="00FF3EB9" w14:paraId="7BB2D073" w14:textId="77777777">
        <w:tc>
          <w:tcPr>
            <w:tcW w:w="3593" w:type="dxa"/>
          </w:tcPr>
          <w:p w14:paraId="5D33EB97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其中主营业务收入</w:t>
            </w:r>
          </w:p>
        </w:tc>
        <w:tc>
          <w:tcPr>
            <w:tcW w:w="5392" w:type="dxa"/>
          </w:tcPr>
          <w:p w14:paraId="0ED9668C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万元</w:t>
            </w:r>
          </w:p>
        </w:tc>
      </w:tr>
      <w:tr w:rsidR="00FF3EB9" w14:paraId="30C20934" w14:textId="77777777">
        <w:tc>
          <w:tcPr>
            <w:tcW w:w="3593" w:type="dxa"/>
            <w:shd w:val="solid" w:color="F5F5F5" w:fill="auto"/>
          </w:tcPr>
          <w:p w14:paraId="34E3D96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利润总额</w:t>
            </w:r>
          </w:p>
        </w:tc>
        <w:tc>
          <w:tcPr>
            <w:tcW w:w="5392" w:type="dxa"/>
            <w:shd w:val="solid" w:color="F5F5F5" w:fill="auto"/>
          </w:tcPr>
          <w:p w14:paraId="4DB6C024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万元</w:t>
            </w:r>
          </w:p>
        </w:tc>
      </w:tr>
      <w:tr w:rsidR="00FF3EB9" w14:paraId="65C31188" w14:textId="77777777">
        <w:tc>
          <w:tcPr>
            <w:tcW w:w="3593" w:type="dxa"/>
            <w:shd w:val="clear" w:color="auto" w:fill="auto"/>
          </w:tcPr>
          <w:p w14:paraId="6D5FF826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净利润</w:t>
            </w:r>
          </w:p>
        </w:tc>
        <w:tc>
          <w:tcPr>
            <w:tcW w:w="5392" w:type="dxa"/>
            <w:shd w:val="clear" w:color="auto" w:fill="auto"/>
          </w:tcPr>
          <w:p w14:paraId="5E951E7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万元</w:t>
            </w:r>
          </w:p>
        </w:tc>
      </w:tr>
      <w:tr w:rsidR="00FF3EB9" w14:paraId="7A8CAA8C" w14:textId="77777777">
        <w:tc>
          <w:tcPr>
            <w:tcW w:w="3593" w:type="dxa"/>
            <w:shd w:val="solid" w:color="F5F5F5" w:fill="auto"/>
          </w:tcPr>
          <w:p w14:paraId="59568A57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纳税总额</w:t>
            </w:r>
          </w:p>
        </w:tc>
        <w:tc>
          <w:tcPr>
            <w:tcW w:w="5392" w:type="dxa"/>
            <w:shd w:val="solid" w:color="F5F5F5" w:fill="auto"/>
          </w:tcPr>
          <w:p w14:paraId="0D4CF031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万元</w:t>
            </w:r>
          </w:p>
        </w:tc>
      </w:tr>
      <w:tr w:rsidR="00FF3EB9" w14:paraId="4F72D601" w14:textId="77777777">
        <w:tc>
          <w:tcPr>
            <w:tcW w:w="3593" w:type="dxa"/>
            <w:shd w:val="clear" w:color="auto" w:fill="auto"/>
          </w:tcPr>
          <w:p w14:paraId="4AB6A97C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所有者权益合计</w:t>
            </w:r>
          </w:p>
        </w:tc>
        <w:tc>
          <w:tcPr>
            <w:tcW w:w="5392" w:type="dxa"/>
            <w:shd w:val="clear" w:color="auto" w:fill="auto"/>
          </w:tcPr>
          <w:p w14:paraId="05BE0F7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万元</w:t>
            </w:r>
          </w:p>
        </w:tc>
      </w:tr>
    </w:tbl>
    <w:p w14:paraId="6146E986" w14:textId="77777777" w:rsidR="00FF3EB9" w:rsidRDefault="00E9371A">
      <w:pPr>
        <w:spacing w:after="80"/>
        <w:jc w:val="left"/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金额单位统一为万元，</w:t>
      </w:r>
      <w:proofErr w:type="gramStart"/>
      <w:r>
        <w:rPr>
          <w:rFonts w:ascii="微软雅黑" w:eastAsia="微软雅黑" w:hAnsi="微软雅黑" w:cs="微软雅黑"/>
          <w:color w:val="333333"/>
          <w:sz w:val="20"/>
          <w:szCs w:val="20"/>
        </w:rPr>
        <w:t>缺失值留空</w:t>
      </w:r>
      <w:proofErr w:type="gramEnd"/>
      <w:r>
        <w:rPr>
          <w:rFonts w:ascii="微软雅黑" w:eastAsia="微软雅黑" w:hAnsi="微软雅黑" w:cs="微软雅黑"/>
          <w:color w:val="333333"/>
          <w:sz w:val="20"/>
          <w:szCs w:val="20"/>
        </w:rPr>
        <w:t>或填0</w:t>
      </w:r>
      <w:r>
        <w:rPr>
          <w:rFonts w:ascii="微软雅黑" w:hAnsi="微软雅黑"/>
          <w:i/>
          <w:color w:val="595959"/>
        </w:rPr>
        <w:t>。</w:t>
      </w:r>
    </w:p>
    <w:p w14:paraId="0BF3D5CE" w14:textId="77777777" w:rsidR="00FF3EB9" w:rsidRDefault="00FF3EB9">
      <w:pPr>
        <w:spacing w:after="80"/>
      </w:pPr>
    </w:p>
    <w:p w14:paraId="14ECF48A" w14:textId="77777777" w:rsidR="00FF3EB9" w:rsidRDefault="00E9371A">
      <w:pPr>
        <w:widowControl/>
        <w:spacing w:before="240" w:after="80" w:line="276" w:lineRule="auto"/>
        <w:jc w:val="left"/>
        <w:rPr>
          <w:rFonts w:ascii="微软雅黑" w:eastAsia="微软雅黑" w:hAnsi="微软雅黑" w:cs="微软雅黑"/>
          <w:b/>
          <w:bCs/>
          <w:color w:val="00694A"/>
          <w:sz w:val="22"/>
        </w:rPr>
      </w:pPr>
      <w:r>
        <w:rPr>
          <w:rFonts w:ascii="微软雅黑" w:eastAsia="微软雅黑" w:hAnsi="微软雅黑" w:cs="微软雅黑" w:hint="eastAsia"/>
          <w:b/>
          <w:bCs/>
          <w:color w:val="00694A"/>
          <w:sz w:val="22"/>
        </w:rPr>
        <w:t>4.2 数据逻辑校验（前置必做）</w:t>
      </w:r>
    </w:p>
    <w:p w14:paraId="46D9A777" w14:textId="77777777" w:rsidR="00FF3EB9" w:rsidRDefault="00E9371A">
      <w:pPr>
        <w:spacing w:after="8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在分析前，工具自动校验以下规则，任何一项失败都会触发预警：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4"/>
        <w:gridCol w:w="3370"/>
        <w:gridCol w:w="3370"/>
      </w:tblGrid>
      <w:tr w:rsidR="00FF3EB9" w14:paraId="7736EBBC" w14:textId="77777777">
        <w:trPr>
          <w:tblHeader/>
        </w:trPr>
        <w:tc>
          <w:tcPr>
            <w:tcW w:w="2252" w:type="dxa"/>
            <w:shd w:val="solid" w:color="00694A" w:fill="auto"/>
          </w:tcPr>
          <w:p w14:paraId="38A7CC5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hAnsi="微软雅黑"/>
                <w:b/>
                <w:color w:val="FFFFFF"/>
                <w:sz w:val="20"/>
              </w:rPr>
              <w:t>校验项</w:t>
            </w:r>
          </w:p>
        </w:tc>
        <w:tc>
          <w:tcPr>
            <w:tcW w:w="3381" w:type="dxa"/>
            <w:shd w:val="solid" w:color="00694A" w:fill="auto"/>
          </w:tcPr>
          <w:p w14:paraId="6606DE7B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hAnsi="微软雅黑"/>
                <w:b/>
                <w:color w:val="FFFFFF"/>
                <w:sz w:val="20"/>
              </w:rPr>
              <w:t>规则</w:t>
            </w:r>
          </w:p>
        </w:tc>
        <w:tc>
          <w:tcPr>
            <w:tcW w:w="3381" w:type="dxa"/>
            <w:shd w:val="solid" w:color="00694A" w:fill="auto"/>
          </w:tcPr>
          <w:p w14:paraId="2DA72C6E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b/>
                <w:color w:val="FFFFFF"/>
                <w:sz w:val="20"/>
                <w:szCs w:val="20"/>
              </w:rPr>
            </w:pPr>
            <w:r>
              <w:rPr>
                <w:rFonts w:ascii="微软雅黑" w:hAnsi="微软雅黑"/>
                <w:b/>
                <w:color w:val="FFFFFF"/>
                <w:sz w:val="20"/>
              </w:rPr>
              <w:t>失败处理</w:t>
            </w:r>
          </w:p>
        </w:tc>
      </w:tr>
      <w:tr w:rsidR="00FF3EB9" w14:paraId="361C152D" w14:textId="77777777">
        <w:tc>
          <w:tcPr>
            <w:tcW w:w="2252" w:type="dxa"/>
          </w:tcPr>
          <w:p w14:paraId="36B62B05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利润包含关系</w:t>
            </w:r>
          </w:p>
        </w:tc>
        <w:tc>
          <w:tcPr>
            <w:tcW w:w="3381" w:type="dxa"/>
          </w:tcPr>
          <w:p w14:paraId="29D2B937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净利润 &lt;= 利润总额</w:t>
            </w:r>
          </w:p>
        </w:tc>
        <w:tc>
          <w:tcPr>
            <w:tcW w:w="3381" w:type="dxa"/>
          </w:tcPr>
          <w:p w14:paraId="338C6B58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触发降级或0分处理</w:t>
            </w:r>
          </w:p>
        </w:tc>
      </w:tr>
      <w:tr w:rsidR="00FF3EB9" w14:paraId="45DAEF8E" w14:textId="77777777">
        <w:tc>
          <w:tcPr>
            <w:tcW w:w="2252" w:type="dxa"/>
            <w:shd w:val="solid" w:color="F5F5F5" w:fill="auto"/>
          </w:tcPr>
          <w:p w14:paraId="2EC35B68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收入包含关系</w:t>
            </w:r>
          </w:p>
        </w:tc>
        <w:tc>
          <w:tcPr>
            <w:tcW w:w="3381" w:type="dxa"/>
            <w:shd w:val="solid" w:color="F5F5F5" w:fill="auto"/>
          </w:tcPr>
          <w:p w14:paraId="33DB9241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主营业务收入 &lt;= 营业总收入</w:t>
            </w:r>
          </w:p>
        </w:tc>
        <w:tc>
          <w:tcPr>
            <w:tcW w:w="3381" w:type="dxa"/>
            <w:shd w:val="solid" w:color="F5F5F5" w:fill="auto"/>
          </w:tcPr>
          <w:p w14:paraId="0FA9DAC6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触发降级或0分处理</w:t>
            </w:r>
          </w:p>
        </w:tc>
      </w:tr>
      <w:tr w:rsidR="00FF3EB9" w14:paraId="44BF6278" w14:textId="77777777">
        <w:tc>
          <w:tcPr>
            <w:tcW w:w="2252" w:type="dxa"/>
          </w:tcPr>
          <w:p w14:paraId="587C1F4C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资产恒等式</w:t>
            </w:r>
          </w:p>
        </w:tc>
        <w:tc>
          <w:tcPr>
            <w:tcW w:w="3381" w:type="dxa"/>
          </w:tcPr>
          <w:p w14:paraId="45D6F4FA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资产总额 = 负债总额 + 所有者权益（允许&lt;1%误差）</w:t>
            </w:r>
          </w:p>
        </w:tc>
        <w:tc>
          <w:tcPr>
            <w:tcW w:w="3381" w:type="dxa"/>
          </w:tcPr>
          <w:p w14:paraId="62D6B329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触发数据异常预警，停止分析</w:t>
            </w:r>
          </w:p>
        </w:tc>
      </w:tr>
    </w:tbl>
    <w:p w14:paraId="5403221B" w14:textId="77777777" w:rsidR="00FF3EB9" w:rsidRDefault="00FF3EB9">
      <w:pPr>
        <w:spacing w:after="8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</w:p>
    <w:p w14:paraId="33585DC2" w14:textId="77777777" w:rsidR="00FF3EB9" w:rsidRDefault="00E9371A">
      <w:pPr>
        <w:widowControl/>
        <w:spacing w:before="240" w:after="80" w:line="276" w:lineRule="auto"/>
        <w:jc w:val="left"/>
        <w:rPr>
          <w:rFonts w:ascii="微软雅黑" w:eastAsia="微软雅黑" w:hAnsi="微软雅黑" w:cs="微软雅黑"/>
          <w:b/>
          <w:bCs/>
          <w:color w:val="00694A"/>
          <w:sz w:val="22"/>
        </w:rPr>
      </w:pPr>
      <w:r>
        <w:rPr>
          <w:rFonts w:ascii="微软雅黑" w:eastAsia="微软雅黑" w:hAnsi="微软雅黑" w:cs="微软雅黑" w:hint="eastAsia"/>
          <w:b/>
          <w:bCs/>
          <w:color w:val="00694A"/>
          <w:sz w:val="22"/>
        </w:rPr>
        <w:t>4.3. 重要原则</w:t>
      </w:r>
    </w:p>
    <w:p w14:paraId="37415DAE" w14:textId="77777777" w:rsidR="00FF3EB9" w:rsidRDefault="00E9371A">
      <w:pPr>
        <w:spacing w:after="80"/>
        <w:jc w:val="left"/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  <w:t>原则</w:t>
      </w:r>
      <w:proofErr w:type="gramStart"/>
      <w:r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  <w:t>一</w:t>
      </w:r>
      <w:proofErr w:type="gramEnd"/>
      <w:r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  <w:t>：杠杆幻觉识别——ROE 必须穿透</w:t>
      </w:r>
    </w:p>
    <w:p w14:paraId="4F0AF2F2" w14:textId="77777777" w:rsidR="00FF3EB9" w:rsidRDefault="00E9371A">
      <w:pPr>
        <w:spacing w:after="8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一个 ROE 15% 的企业未必是好企业。杜邦分解后可能发现：净利率仅1%，靠5倍杠杆堆砌出15% ROE。这种「杠杆幻觉型」企业在去杠杆过程中会瞬间崩塌。</w:t>
      </w:r>
    </w:p>
    <w:p w14:paraId="4CAD7D10" w14:textId="77777777" w:rsidR="00FF3EB9" w:rsidRDefault="00E9371A">
      <w:pPr>
        <w:spacing w:after="8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利润驱动型（净利率&gt;5% + 杠杆率&lt;3）：真实高ROE，低风险</w:t>
      </w:r>
    </w:p>
    <w:p w14:paraId="20910ADC" w14:textId="77777777" w:rsidR="00FF3EB9" w:rsidRDefault="00E9371A">
      <w:pPr>
        <w:spacing w:after="8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杠杆幻觉型（净利率&lt;3% + 杠杆率&gt;5）：去杠杆即塌方，极高风险</w:t>
      </w:r>
    </w:p>
    <w:p w14:paraId="75623C5F" w14:textId="77777777" w:rsidR="00FF3EB9" w:rsidRDefault="00E9371A">
      <w:pPr>
        <w:spacing w:after="8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周转驱动型（资产周转率&gt;2 + 净利率&lt;5%）：薄利多销，中等风险</w:t>
      </w:r>
    </w:p>
    <w:p w14:paraId="0C6B385A" w14:textId="77777777" w:rsidR="00FF3EB9" w:rsidRDefault="00FF3EB9">
      <w:pPr>
        <w:spacing w:after="8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</w:p>
    <w:p w14:paraId="35614D5B" w14:textId="77777777" w:rsidR="00FF3EB9" w:rsidRDefault="00E9371A">
      <w:pPr>
        <w:spacing w:after="80"/>
        <w:jc w:val="left"/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  <w:t>原则二：剪刀差必须结合规模看</w:t>
      </w:r>
    </w:p>
    <w:p w14:paraId="3FBE2A57" w14:textId="77777777" w:rsidR="00FF3EB9" w:rsidRDefault="00E9371A">
      <w:pPr>
        <w:spacing w:after="8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「营收增长20%、利润增长10%」未必是好事。如果该企业营收规模仅100万，利润10万，增量质量依然低下。剪刀差必须结合绝对规模判断。</w:t>
      </w:r>
    </w:p>
    <w:p w14:paraId="31221C2C" w14:textId="77777777" w:rsidR="00FF3EB9" w:rsidRDefault="00FF3EB9">
      <w:pPr>
        <w:spacing w:after="8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</w:p>
    <w:p w14:paraId="73822D13" w14:textId="77777777" w:rsidR="00FF3EB9" w:rsidRDefault="00E9371A">
      <w:pPr>
        <w:spacing w:after="80"/>
        <w:jc w:val="left"/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  <w:t>原则三：生命周期决定评价基准</w:t>
      </w:r>
    </w:p>
    <w:p w14:paraId="41D4A0DB" w14:textId="77777777" w:rsidR="00FF3EB9" w:rsidRDefault="00E9371A">
      <w:pPr>
        <w:spacing w:after="80"/>
        <w:jc w:val="left"/>
        <w:rPr>
          <w:rFonts w:ascii="微软雅黑" w:eastAsia="微软雅黑" w:hAnsi="微软雅黑" w:cs="微软雅黑"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color w:val="333333"/>
          <w:sz w:val="20"/>
          <w:szCs w:val="20"/>
        </w:rPr>
        <w:t>不同生命周期的企业不能用同一套标准评价。整固爬坡期的企业ROE低是正常的，衰退期的企业高杠杆是致命的。工具会自动定位生命周期并调整评价基准。</w:t>
      </w:r>
    </w:p>
    <w:p w14:paraId="0B27CBB8" w14:textId="77777777" w:rsidR="00FF3EB9" w:rsidRDefault="00E9371A">
      <w:pPr>
        <w:widowControl/>
        <w:spacing w:before="240" w:after="80" w:line="276" w:lineRule="auto"/>
        <w:jc w:val="left"/>
        <w:rPr>
          <w:rFonts w:ascii="微软雅黑" w:eastAsia="微软雅黑" w:hAnsi="微软雅黑" w:cs="微软雅黑"/>
          <w:b/>
          <w:bCs/>
          <w:color w:val="00694A"/>
          <w:sz w:val="22"/>
        </w:rPr>
      </w:pPr>
      <w:r>
        <w:rPr>
          <w:rFonts w:ascii="微软雅黑" w:eastAsia="微软雅黑" w:hAnsi="微软雅黑" w:cs="微软雅黑" w:hint="eastAsia"/>
          <w:b/>
          <w:bCs/>
          <w:color w:val="00694A"/>
          <w:sz w:val="22"/>
        </w:rPr>
        <w:t>4.4 ROE 杜邦分解与生命周期定位</w:t>
      </w:r>
    </w:p>
    <w:p w14:paraId="39890413" w14:textId="77777777" w:rsidR="00FF3EB9" w:rsidRDefault="00E9371A">
      <w:pPr>
        <w:spacing w:after="80"/>
        <w:jc w:val="left"/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</w:pPr>
      <w:r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  <w:lastRenderedPageBreak/>
        <w:t>杜邦分解 — ROE 驱动模式识别</w:t>
      </w: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1"/>
        <w:gridCol w:w="2452"/>
        <w:gridCol w:w="2451"/>
        <w:gridCol w:w="2450"/>
      </w:tblGrid>
      <w:tr w:rsidR="00FF3EB9" w14:paraId="082039A9" w14:textId="77777777">
        <w:trPr>
          <w:tblHeader/>
        </w:trPr>
        <w:tc>
          <w:tcPr>
            <w:tcW w:w="1637" w:type="dxa"/>
            <w:shd w:val="solid" w:color="00694A" w:fill="auto"/>
          </w:tcPr>
          <w:p w14:paraId="25AE9CEE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  <w:szCs w:val="20"/>
              </w:rPr>
              <w:t>模式</w:t>
            </w:r>
          </w:p>
        </w:tc>
        <w:tc>
          <w:tcPr>
            <w:tcW w:w="2459" w:type="dxa"/>
            <w:shd w:val="solid" w:color="00694A" w:fill="auto"/>
          </w:tcPr>
          <w:p w14:paraId="13E11D91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  <w:szCs w:val="20"/>
              </w:rPr>
              <w:t>条件</w:t>
            </w:r>
          </w:p>
        </w:tc>
        <w:tc>
          <w:tcPr>
            <w:tcW w:w="2459" w:type="dxa"/>
            <w:shd w:val="solid" w:color="00694A" w:fill="auto"/>
          </w:tcPr>
          <w:p w14:paraId="4E9A01DE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b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  <w:szCs w:val="20"/>
              </w:rPr>
              <w:t>定性</w:t>
            </w:r>
          </w:p>
        </w:tc>
        <w:tc>
          <w:tcPr>
            <w:tcW w:w="2459" w:type="dxa"/>
            <w:shd w:val="solid" w:color="00694A" w:fill="auto"/>
          </w:tcPr>
          <w:p w14:paraId="21EE392E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b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  <w:szCs w:val="20"/>
              </w:rPr>
              <w:t>风险等级</w:t>
            </w:r>
          </w:p>
        </w:tc>
      </w:tr>
      <w:tr w:rsidR="00FF3EB9" w14:paraId="6D3C90F6" w14:textId="77777777">
        <w:tc>
          <w:tcPr>
            <w:tcW w:w="1637" w:type="dxa"/>
          </w:tcPr>
          <w:p w14:paraId="7B65BBE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利润驱动型</w:t>
            </w:r>
          </w:p>
        </w:tc>
        <w:tc>
          <w:tcPr>
            <w:tcW w:w="2459" w:type="dxa"/>
          </w:tcPr>
          <w:p w14:paraId="2880712F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净利率&gt;5% + 杠杆率&lt;3</w:t>
            </w:r>
          </w:p>
        </w:tc>
        <w:tc>
          <w:tcPr>
            <w:tcW w:w="2459" w:type="dxa"/>
          </w:tcPr>
          <w:p w14:paraId="6DCA7526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真实高ROE，财务健康</w:t>
            </w:r>
          </w:p>
        </w:tc>
        <w:tc>
          <w:tcPr>
            <w:tcW w:w="2459" w:type="dxa"/>
          </w:tcPr>
          <w:p w14:paraId="1DC04C7E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低</w:t>
            </w:r>
          </w:p>
        </w:tc>
      </w:tr>
      <w:tr w:rsidR="00FF3EB9" w14:paraId="655FFEAA" w14:textId="77777777">
        <w:tc>
          <w:tcPr>
            <w:tcW w:w="1637" w:type="dxa"/>
            <w:shd w:val="solid" w:color="F5F5F5" w:fill="auto"/>
          </w:tcPr>
          <w:p w14:paraId="00776AC0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杠杆幻觉型</w:t>
            </w:r>
          </w:p>
        </w:tc>
        <w:tc>
          <w:tcPr>
            <w:tcW w:w="2459" w:type="dxa"/>
            <w:shd w:val="solid" w:color="F5F5F5" w:fill="auto"/>
          </w:tcPr>
          <w:p w14:paraId="5C87A42A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净利率&lt;3% + 杠杆率&gt;5</w:t>
            </w:r>
          </w:p>
        </w:tc>
        <w:tc>
          <w:tcPr>
            <w:tcW w:w="2459" w:type="dxa"/>
            <w:shd w:val="solid" w:color="F5F5F5" w:fill="auto"/>
          </w:tcPr>
          <w:p w14:paraId="395C6A16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去杠杆即塌方</w:t>
            </w:r>
          </w:p>
        </w:tc>
        <w:tc>
          <w:tcPr>
            <w:tcW w:w="2459" w:type="dxa"/>
            <w:shd w:val="solid" w:color="F5F5F5" w:fill="auto"/>
          </w:tcPr>
          <w:p w14:paraId="59E9F591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极高</w:t>
            </w:r>
          </w:p>
        </w:tc>
      </w:tr>
      <w:tr w:rsidR="00FF3EB9" w14:paraId="570A6101" w14:textId="77777777">
        <w:tc>
          <w:tcPr>
            <w:tcW w:w="1637" w:type="dxa"/>
          </w:tcPr>
          <w:p w14:paraId="7F44137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周转驱动型</w:t>
            </w:r>
          </w:p>
        </w:tc>
        <w:tc>
          <w:tcPr>
            <w:tcW w:w="2459" w:type="dxa"/>
          </w:tcPr>
          <w:p w14:paraId="1188D72B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资产周转率&gt;2 + 净利率&lt;5%</w:t>
            </w:r>
          </w:p>
        </w:tc>
        <w:tc>
          <w:tcPr>
            <w:tcW w:w="2459" w:type="dxa"/>
          </w:tcPr>
          <w:p w14:paraId="35F90B8C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薄利多销</w:t>
            </w:r>
          </w:p>
        </w:tc>
        <w:tc>
          <w:tcPr>
            <w:tcW w:w="2459" w:type="dxa"/>
          </w:tcPr>
          <w:p w14:paraId="2F6DBE26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中</w:t>
            </w:r>
          </w:p>
        </w:tc>
      </w:tr>
      <w:tr w:rsidR="00FF3EB9" w14:paraId="02858421" w14:textId="77777777">
        <w:tc>
          <w:tcPr>
            <w:tcW w:w="1637" w:type="dxa"/>
            <w:shd w:val="solid" w:color="F5F5F5" w:fill="auto"/>
          </w:tcPr>
          <w:p w14:paraId="43306B9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混合型</w:t>
            </w:r>
          </w:p>
        </w:tc>
        <w:tc>
          <w:tcPr>
            <w:tcW w:w="2459" w:type="dxa"/>
            <w:shd w:val="solid" w:color="F5F5F5" w:fill="auto"/>
          </w:tcPr>
          <w:p w14:paraId="4AE97B99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其他组合</w:t>
            </w:r>
          </w:p>
        </w:tc>
        <w:tc>
          <w:tcPr>
            <w:tcW w:w="2459" w:type="dxa"/>
            <w:shd w:val="solid" w:color="F5F5F5" w:fill="auto"/>
          </w:tcPr>
          <w:p w14:paraId="3BF3D103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需具体分析</w:t>
            </w:r>
          </w:p>
        </w:tc>
        <w:tc>
          <w:tcPr>
            <w:tcW w:w="2459" w:type="dxa"/>
            <w:shd w:val="solid" w:color="F5F5F5" w:fill="auto"/>
          </w:tcPr>
          <w:p w14:paraId="2D1F4ED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视情况</w:t>
            </w:r>
          </w:p>
        </w:tc>
      </w:tr>
    </w:tbl>
    <w:p w14:paraId="749A3780" w14:textId="77777777" w:rsidR="00FF3EB9" w:rsidRDefault="00FF3EB9">
      <w:pPr>
        <w:spacing w:after="80"/>
      </w:pPr>
    </w:p>
    <w:p w14:paraId="0735562E" w14:textId="77777777" w:rsidR="00FF3EB9" w:rsidRDefault="00E9371A">
      <w:pPr>
        <w:jc w:val="left"/>
        <w:rPr>
          <w:rFonts w:ascii="微软雅黑" w:eastAsia="微软雅黑" w:hAnsi="微软雅黑" w:cs="微软雅黑"/>
          <w:b/>
          <w:bCs/>
          <w:color w:val="1F2D3D"/>
          <w:sz w:val="20"/>
          <w:szCs w:val="20"/>
        </w:rPr>
      </w:pPr>
      <w:r>
        <w:rPr>
          <w:rFonts w:ascii="微软雅黑" w:eastAsia="微软雅黑" w:hAnsi="微软雅黑" w:cs="微软雅黑" w:hint="eastAsia"/>
          <w:b/>
          <w:bCs/>
          <w:color w:val="1F2D3D"/>
          <w:sz w:val="20"/>
          <w:szCs w:val="20"/>
        </w:rPr>
        <w:t>生命周期定位</w:t>
      </w:r>
    </w:p>
    <w:tbl>
      <w:tblPr>
        <w:tblW w:w="4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3"/>
        <w:gridCol w:w="3369"/>
        <w:gridCol w:w="3370"/>
      </w:tblGrid>
      <w:tr w:rsidR="00FF3EB9" w14:paraId="0CB8FC80" w14:textId="77777777">
        <w:trPr>
          <w:tblHeader/>
        </w:trPr>
        <w:tc>
          <w:tcPr>
            <w:tcW w:w="2250" w:type="dxa"/>
            <w:shd w:val="solid" w:color="00694A" w:fill="auto"/>
          </w:tcPr>
          <w:p w14:paraId="69B96D7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  <w:szCs w:val="20"/>
              </w:rPr>
              <w:t>指标组合</w:t>
            </w:r>
          </w:p>
        </w:tc>
        <w:tc>
          <w:tcPr>
            <w:tcW w:w="3381" w:type="dxa"/>
            <w:shd w:val="solid" w:color="00694A" w:fill="auto"/>
          </w:tcPr>
          <w:p w14:paraId="0BCB3E2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b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  <w:szCs w:val="20"/>
              </w:rPr>
              <w:t>生命周期</w:t>
            </w:r>
          </w:p>
        </w:tc>
        <w:tc>
          <w:tcPr>
            <w:tcW w:w="3381" w:type="dxa"/>
            <w:shd w:val="solid" w:color="00694A" w:fill="auto"/>
          </w:tcPr>
          <w:p w14:paraId="6EE65290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b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  <w:szCs w:val="20"/>
              </w:rPr>
              <w:t>定性</w:t>
            </w:r>
          </w:p>
        </w:tc>
      </w:tr>
      <w:tr w:rsidR="00FF3EB9" w14:paraId="1CD89A37" w14:textId="77777777">
        <w:tc>
          <w:tcPr>
            <w:tcW w:w="2250" w:type="dxa"/>
          </w:tcPr>
          <w:p w14:paraId="39EA6044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营收增+净利增+杠杆降</w:t>
            </w:r>
          </w:p>
        </w:tc>
        <w:tc>
          <w:tcPr>
            <w:tcW w:w="3381" w:type="dxa"/>
          </w:tcPr>
          <w:p w14:paraId="4F11D685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整固爬坡期</w:t>
            </w:r>
          </w:p>
        </w:tc>
        <w:tc>
          <w:tcPr>
            <w:tcW w:w="3381" w:type="dxa"/>
          </w:tcPr>
          <w:p w14:paraId="469DCB26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从低谷爬出，主动去杠杆，盈利修复中</w:t>
            </w:r>
          </w:p>
        </w:tc>
      </w:tr>
      <w:tr w:rsidR="00FF3EB9" w14:paraId="5EBF3201" w14:textId="77777777">
        <w:tc>
          <w:tcPr>
            <w:tcW w:w="2250" w:type="dxa"/>
            <w:shd w:val="solid" w:color="F5F5F5" w:fill="auto"/>
          </w:tcPr>
          <w:p w14:paraId="585293F8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营收增+净利增+杠杆升</w:t>
            </w:r>
          </w:p>
        </w:tc>
        <w:tc>
          <w:tcPr>
            <w:tcW w:w="3381" w:type="dxa"/>
            <w:shd w:val="solid" w:color="F5F5F5" w:fill="auto"/>
          </w:tcPr>
          <w:p w14:paraId="3B1E2319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扩张红利期</w:t>
            </w:r>
          </w:p>
        </w:tc>
        <w:tc>
          <w:tcPr>
            <w:tcW w:w="3381" w:type="dxa"/>
            <w:shd w:val="solid" w:color="F5F5F5" w:fill="auto"/>
          </w:tcPr>
          <w:p w14:paraId="2654FBE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顺周期扩张，需警惕杠杆过热</w:t>
            </w:r>
          </w:p>
        </w:tc>
      </w:tr>
      <w:tr w:rsidR="00FF3EB9" w14:paraId="1EDA99A0" w14:textId="77777777">
        <w:tc>
          <w:tcPr>
            <w:tcW w:w="2250" w:type="dxa"/>
          </w:tcPr>
          <w:p w14:paraId="51A279B6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营收增+净利降+杠杆升</w:t>
            </w:r>
          </w:p>
        </w:tc>
        <w:tc>
          <w:tcPr>
            <w:tcW w:w="3381" w:type="dxa"/>
          </w:tcPr>
          <w:p w14:paraId="55AF55C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粗放扩张期</w:t>
            </w:r>
          </w:p>
        </w:tc>
        <w:tc>
          <w:tcPr>
            <w:tcW w:w="3381" w:type="dxa"/>
          </w:tcPr>
          <w:p w14:paraId="5B889906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规模扩张但利润被侵蚀，内卷信号</w:t>
            </w:r>
          </w:p>
        </w:tc>
      </w:tr>
      <w:tr w:rsidR="00FF3EB9" w14:paraId="6B4A3521" w14:textId="77777777">
        <w:tc>
          <w:tcPr>
            <w:tcW w:w="2250" w:type="dxa"/>
            <w:shd w:val="solid" w:color="F5F5F5" w:fill="auto"/>
          </w:tcPr>
          <w:p w14:paraId="15ED1E27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营收降+净利增+杠杆降</w:t>
            </w:r>
          </w:p>
        </w:tc>
        <w:tc>
          <w:tcPr>
            <w:tcW w:w="3381" w:type="dxa"/>
            <w:shd w:val="solid" w:color="F5F5F5" w:fill="auto"/>
          </w:tcPr>
          <w:p w14:paraId="2F231C45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战略整固期</w:t>
            </w:r>
          </w:p>
        </w:tc>
        <w:tc>
          <w:tcPr>
            <w:tcW w:w="3381" w:type="dxa"/>
            <w:shd w:val="solid" w:color="F5F5F5" w:fill="auto"/>
          </w:tcPr>
          <w:p w14:paraId="4CBDCEA9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主动收缩低效业务，优化产品结构</w:t>
            </w:r>
          </w:p>
        </w:tc>
      </w:tr>
      <w:tr w:rsidR="00FF3EB9" w14:paraId="5FE375F0" w14:textId="77777777">
        <w:tc>
          <w:tcPr>
            <w:tcW w:w="2250" w:type="dxa"/>
          </w:tcPr>
          <w:p w14:paraId="2FC01214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营收降+净利降+杠杆升</w:t>
            </w:r>
          </w:p>
        </w:tc>
        <w:tc>
          <w:tcPr>
            <w:tcW w:w="3381" w:type="dxa"/>
          </w:tcPr>
          <w:p w14:paraId="721D55E5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高危维持期</w:t>
            </w:r>
          </w:p>
        </w:tc>
        <w:tc>
          <w:tcPr>
            <w:tcW w:w="3381" w:type="dxa"/>
          </w:tcPr>
          <w:p w14:paraId="662EEF1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规模反噬+杠杆加码，跑赢坏账速度是唯一出路</w:t>
            </w:r>
          </w:p>
        </w:tc>
      </w:tr>
      <w:tr w:rsidR="00FF3EB9" w14:paraId="24AC7367" w14:textId="77777777">
        <w:tc>
          <w:tcPr>
            <w:tcW w:w="2250" w:type="dxa"/>
            <w:shd w:val="solid" w:color="F5F5F5" w:fill="auto"/>
          </w:tcPr>
          <w:p w14:paraId="58871A0A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营收降+净利降+杠杆降</w:t>
            </w:r>
          </w:p>
        </w:tc>
        <w:tc>
          <w:tcPr>
            <w:tcW w:w="3381" w:type="dxa"/>
            <w:shd w:val="solid" w:color="F5F5F5" w:fill="auto"/>
          </w:tcPr>
          <w:p w14:paraId="5114AF8F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衰退出清期</w:t>
            </w:r>
          </w:p>
        </w:tc>
        <w:tc>
          <w:tcPr>
            <w:tcW w:w="3381" w:type="dxa"/>
            <w:shd w:val="solid" w:color="F5F5F5" w:fill="auto"/>
          </w:tcPr>
          <w:p w14:paraId="4A1543B7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全面收缩，等待行业出清或退出</w:t>
            </w:r>
          </w:p>
        </w:tc>
      </w:tr>
    </w:tbl>
    <w:p w14:paraId="2180C9DA" w14:textId="77777777" w:rsidR="00FF3EB9" w:rsidRDefault="00FF3EB9">
      <w:pPr>
        <w:spacing w:after="80"/>
      </w:pPr>
    </w:p>
    <w:p w14:paraId="06521F81" w14:textId="77777777" w:rsidR="00FF3EB9" w:rsidRDefault="00E9371A">
      <w:pPr>
        <w:widowControl/>
        <w:spacing w:before="240" w:after="80" w:line="276" w:lineRule="auto"/>
        <w:jc w:val="left"/>
        <w:rPr>
          <w:rFonts w:ascii="微软雅黑" w:eastAsia="微软雅黑" w:hAnsi="微软雅黑" w:cs="微软雅黑"/>
          <w:b/>
          <w:bCs/>
          <w:color w:val="00694A"/>
          <w:sz w:val="22"/>
        </w:rPr>
      </w:pPr>
      <w:r>
        <w:rPr>
          <w:rFonts w:ascii="微软雅黑" w:eastAsia="微软雅黑" w:hAnsi="微软雅黑" w:cs="微软雅黑" w:hint="eastAsia"/>
          <w:b/>
          <w:bCs/>
          <w:color w:val="00694A"/>
          <w:sz w:val="22"/>
        </w:rPr>
        <w:t>4.5风险识别规则</w:t>
      </w:r>
    </w:p>
    <w:tbl>
      <w:tblPr>
        <w:tblW w:w="49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4"/>
        <w:gridCol w:w="3345"/>
        <w:gridCol w:w="3341"/>
      </w:tblGrid>
      <w:tr w:rsidR="00FF3EB9" w14:paraId="76ABA815" w14:textId="77777777">
        <w:trPr>
          <w:tblHeader/>
        </w:trPr>
        <w:tc>
          <w:tcPr>
            <w:tcW w:w="2226" w:type="dxa"/>
            <w:shd w:val="solid" w:color="00694A" w:fill="auto"/>
          </w:tcPr>
          <w:p w14:paraId="01670E1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</w:rPr>
              <w:t>风险信号</w:t>
            </w:r>
          </w:p>
        </w:tc>
        <w:tc>
          <w:tcPr>
            <w:tcW w:w="3349" w:type="dxa"/>
            <w:shd w:val="solid" w:color="00694A" w:fill="auto"/>
          </w:tcPr>
          <w:p w14:paraId="561770C9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b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</w:rPr>
              <w:t>判断条件</w:t>
            </w:r>
          </w:p>
        </w:tc>
        <w:tc>
          <w:tcPr>
            <w:tcW w:w="3345" w:type="dxa"/>
            <w:shd w:val="solid" w:color="00694A" w:fill="auto"/>
          </w:tcPr>
          <w:p w14:paraId="3CE3FAD4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b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</w:rPr>
              <w:t>严重度</w:t>
            </w:r>
          </w:p>
        </w:tc>
      </w:tr>
      <w:tr w:rsidR="00FF3EB9" w14:paraId="09756F00" w14:textId="77777777">
        <w:tc>
          <w:tcPr>
            <w:tcW w:w="2226" w:type="dxa"/>
          </w:tcPr>
          <w:p w14:paraId="4361A519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资不抵债</w:t>
            </w:r>
          </w:p>
        </w:tc>
        <w:tc>
          <w:tcPr>
            <w:tcW w:w="3349" w:type="dxa"/>
          </w:tcPr>
          <w:p w14:paraId="458675D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EQ &lt; 0</w:t>
            </w:r>
          </w:p>
        </w:tc>
        <w:tc>
          <w:tcPr>
            <w:tcW w:w="3345" w:type="dxa"/>
          </w:tcPr>
          <w:p w14:paraId="5510F4A1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严重</w:t>
            </w:r>
          </w:p>
        </w:tc>
      </w:tr>
      <w:tr w:rsidR="00FF3EB9" w14:paraId="4EAD86F8" w14:textId="77777777">
        <w:tc>
          <w:tcPr>
            <w:tcW w:w="2226" w:type="dxa"/>
            <w:shd w:val="solid" w:color="F5F5F5" w:fill="auto"/>
          </w:tcPr>
          <w:p w14:paraId="1D88291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连年亏损</w:t>
            </w:r>
          </w:p>
        </w:tc>
        <w:tc>
          <w:tcPr>
            <w:tcW w:w="3349" w:type="dxa"/>
            <w:shd w:val="solid" w:color="F5F5F5" w:fill="auto"/>
          </w:tcPr>
          <w:p w14:paraId="72FE56D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净利润连续2年 &lt; 0</w:t>
            </w:r>
          </w:p>
        </w:tc>
        <w:tc>
          <w:tcPr>
            <w:tcW w:w="3345" w:type="dxa"/>
            <w:shd w:val="solid" w:color="F5F5F5" w:fill="auto"/>
          </w:tcPr>
          <w:p w14:paraId="0CE5296B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严重</w:t>
            </w:r>
          </w:p>
        </w:tc>
      </w:tr>
      <w:tr w:rsidR="00FF3EB9" w14:paraId="57035215" w14:textId="77777777">
        <w:tc>
          <w:tcPr>
            <w:tcW w:w="2226" w:type="dxa"/>
          </w:tcPr>
          <w:p w14:paraId="1B3A02E0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负债率恶化</w:t>
            </w:r>
          </w:p>
        </w:tc>
        <w:tc>
          <w:tcPr>
            <w:tcW w:w="3349" w:type="dxa"/>
          </w:tcPr>
          <w:p w14:paraId="6E1BA749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资产负债率同比上升 &gt; 10pp</w:t>
            </w:r>
          </w:p>
        </w:tc>
        <w:tc>
          <w:tcPr>
            <w:tcW w:w="3345" w:type="dxa"/>
          </w:tcPr>
          <w:p w14:paraId="37C390B8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警示</w:t>
            </w:r>
          </w:p>
        </w:tc>
      </w:tr>
      <w:tr w:rsidR="00FF3EB9" w14:paraId="72F5EA76" w14:textId="77777777">
        <w:tc>
          <w:tcPr>
            <w:tcW w:w="2226" w:type="dxa"/>
            <w:shd w:val="solid" w:color="F5F5F5" w:fill="auto"/>
          </w:tcPr>
          <w:p w14:paraId="111A451A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人员萎缩</w:t>
            </w:r>
          </w:p>
        </w:tc>
        <w:tc>
          <w:tcPr>
            <w:tcW w:w="3349" w:type="dxa"/>
            <w:shd w:val="solid" w:color="F5F5F5" w:fill="auto"/>
          </w:tcPr>
          <w:p w14:paraId="6ABA583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从业人数同比下降 &gt; 20%</w:t>
            </w:r>
          </w:p>
        </w:tc>
        <w:tc>
          <w:tcPr>
            <w:tcW w:w="3345" w:type="dxa"/>
            <w:shd w:val="solid" w:color="F5F5F5" w:fill="auto"/>
          </w:tcPr>
          <w:p w14:paraId="0D05F1B9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警示</w:t>
            </w:r>
          </w:p>
        </w:tc>
      </w:tr>
      <w:tr w:rsidR="00FF3EB9" w14:paraId="43C1765D" w14:textId="77777777">
        <w:tc>
          <w:tcPr>
            <w:tcW w:w="2226" w:type="dxa"/>
          </w:tcPr>
          <w:p w14:paraId="0D9E8F11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增收不增利</w:t>
            </w:r>
          </w:p>
        </w:tc>
        <w:tc>
          <w:tcPr>
            <w:tcW w:w="3349" w:type="dxa"/>
          </w:tcPr>
          <w:p w14:paraId="6ED5BDA7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ΔR &gt; 0 但 Δ</w:t>
            </w:r>
            <w:proofErr w:type="spellStart"/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P_net</w:t>
            </w:r>
            <w:proofErr w:type="spellEnd"/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 xml:space="preserve"> &lt; 0</w:t>
            </w:r>
          </w:p>
        </w:tc>
        <w:tc>
          <w:tcPr>
            <w:tcW w:w="3345" w:type="dxa"/>
          </w:tcPr>
          <w:p w14:paraId="3D1F687C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警示</w:t>
            </w:r>
          </w:p>
        </w:tc>
      </w:tr>
      <w:tr w:rsidR="00FF3EB9" w14:paraId="311C7BC0" w14:textId="77777777">
        <w:tc>
          <w:tcPr>
            <w:tcW w:w="2226" w:type="dxa"/>
            <w:shd w:val="solid" w:color="F5F5F5" w:fill="auto"/>
          </w:tcPr>
          <w:p w14:paraId="479E2CB7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资产低效扩张</w:t>
            </w:r>
          </w:p>
        </w:tc>
        <w:tc>
          <w:tcPr>
            <w:tcW w:w="3349" w:type="dxa"/>
            <w:shd w:val="solid" w:color="F5F5F5" w:fill="auto"/>
          </w:tcPr>
          <w:p w14:paraId="0CA57D2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ΔA &gt; ΔR 且 ΔR &gt; 0</w:t>
            </w:r>
          </w:p>
        </w:tc>
        <w:tc>
          <w:tcPr>
            <w:tcW w:w="3345" w:type="dxa"/>
            <w:shd w:val="solid" w:color="F5F5F5" w:fill="auto"/>
          </w:tcPr>
          <w:p w14:paraId="00E2ED09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关注</w:t>
            </w:r>
          </w:p>
        </w:tc>
      </w:tr>
      <w:tr w:rsidR="00FF3EB9" w14:paraId="58B1DD34" w14:textId="77777777">
        <w:tc>
          <w:tcPr>
            <w:tcW w:w="2226" w:type="dxa"/>
          </w:tcPr>
          <w:p w14:paraId="1FFD645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营收下滑</w:t>
            </w:r>
          </w:p>
        </w:tc>
        <w:tc>
          <w:tcPr>
            <w:tcW w:w="3349" w:type="dxa"/>
          </w:tcPr>
          <w:p w14:paraId="647E789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营收连续2年下降</w:t>
            </w:r>
          </w:p>
        </w:tc>
        <w:tc>
          <w:tcPr>
            <w:tcW w:w="3345" w:type="dxa"/>
          </w:tcPr>
          <w:p w14:paraId="3B9662EE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关注</w:t>
            </w:r>
          </w:p>
        </w:tc>
      </w:tr>
      <w:tr w:rsidR="00FF3EB9" w14:paraId="2A16BBE0" w14:textId="77777777">
        <w:tc>
          <w:tcPr>
            <w:tcW w:w="2226" w:type="dxa"/>
            <w:shd w:val="solid" w:color="F5F5F5" w:fill="auto"/>
          </w:tcPr>
          <w:p w14:paraId="3630A381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主营占比低</w:t>
            </w:r>
          </w:p>
        </w:tc>
        <w:tc>
          <w:tcPr>
            <w:tcW w:w="3349" w:type="dxa"/>
            <w:shd w:val="solid" w:color="F5F5F5" w:fill="auto"/>
          </w:tcPr>
          <w:p w14:paraId="6434350C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主营业务收入/营业总收入 &lt; 50%</w:t>
            </w:r>
          </w:p>
        </w:tc>
        <w:tc>
          <w:tcPr>
            <w:tcW w:w="3345" w:type="dxa"/>
            <w:shd w:val="solid" w:color="F5F5F5" w:fill="auto"/>
          </w:tcPr>
          <w:p w14:paraId="6C53622C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关注</w:t>
            </w:r>
          </w:p>
        </w:tc>
      </w:tr>
      <w:tr w:rsidR="00FF3EB9" w14:paraId="6C095729" w14:textId="77777777">
        <w:tc>
          <w:tcPr>
            <w:tcW w:w="2226" w:type="dxa"/>
          </w:tcPr>
          <w:p w14:paraId="39D1AFB9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边际人</w:t>
            </w:r>
            <w:proofErr w:type="gramStart"/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效</w:t>
            </w:r>
            <w:proofErr w:type="gramEnd"/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为负</w:t>
            </w:r>
          </w:p>
        </w:tc>
        <w:tc>
          <w:tcPr>
            <w:tcW w:w="3349" w:type="dxa"/>
          </w:tcPr>
          <w:p w14:paraId="58FACBF3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新增营收/新增员工 &lt; 0（扩张时）</w:t>
            </w:r>
          </w:p>
        </w:tc>
        <w:tc>
          <w:tcPr>
            <w:tcW w:w="3345" w:type="dxa"/>
          </w:tcPr>
          <w:p w14:paraId="7B0A085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</w:rPr>
              <w:t>关注</w:t>
            </w:r>
          </w:p>
        </w:tc>
      </w:tr>
    </w:tbl>
    <w:p w14:paraId="1DFE0B81" w14:textId="77777777" w:rsidR="00FF3EB9" w:rsidRDefault="00FF3EB9">
      <w:pPr>
        <w:spacing w:after="80"/>
      </w:pPr>
    </w:p>
    <w:p w14:paraId="642EA56C" w14:textId="77777777" w:rsidR="00FF3EB9" w:rsidRDefault="00E9371A">
      <w:pPr>
        <w:widowControl/>
        <w:spacing w:before="240" w:after="80" w:line="276" w:lineRule="auto"/>
        <w:jc w:val="left"/>
        <w:rPr>
          <w:rFonts w:ascii="微软雅黑" w:eastAsia="微软雅黑" w:hAnsi="微软雅黑" w:cs="微软雅黑"/>
          <w:b/>
          <w:bCs/>
          <w:color w:val="00694A"/>
          <w:sz w:val="22"/>
        </w:rPr>
      </w:pPr>
      <w:r>
        <w:rPr>
          <w:rFonts w:ascii="微软雅黑" w:eastAsia="微软雅黑" w:hAnsi="微软雅黑" w:cs="微软雅黑" w:hint="eastAsia"/>
          <w:b/>
          <w:bCs/>
          <w:color w:val="00694A"/>
          <w:sz w:val="22"/>
        </w:rPr>
        <w:t>4.6量化评分体系（4维度100分）</w:t>
      </w:r>
    </w:p>
    <w:tbl>
      <w:tblPr>
        <w:tblW w:w="49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5"/>
        <w:gridCol w:w="2643"/>
        <w:gridCol w:w="1240"/>
        <w:gridCol w:w="2941"/>
      </w:tblGrid>
      <w:tr w:rsidR="00FF3EB9" w14:paraId="0850C041" w14:textId="77777777">
        <w:trPr>
          <w:tblHeader/>
        </w:trPr>
        <w:tc>
          <w:tcPr>
            <w:tcW w:w="2109" w:type="dxa"/>
            <w:shd w:val="solid" w:color="00694A" w:fill="auto"/>
          </w:tcPr>
          <w:p w14:paraId="77EF076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  <w:szCs w:val="20"/>
              </w:rPr>
              <w:t>维度</w:t>
            </w:r>
          </w:p>
        </w:tc>
        <w:tc>
          <w:tcPr>
            <w:tcW w:w="2653" w:type="dxa"/>
            <w:shd w:val="solid" w:color="00694A" w:fill="auto"/>
          </w:tcPr>
          <w:p w14:paraId="610910C4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  <w:szCs w:val="20"/>
              </w:rPr>
              <w:t>指标</w:t>
            </w:r>
          </w:p>
        </w:tc>
        <w:tc>
          <w:tcPr>
            <w:tcW w:w="1245" w:type="dxa"/>
            <w:shd w:val="solid" w:color="00694A" w:fill="auto"/>
          </w:tcPr>
          <w:p w14:paraId="2D14B918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b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  <w:szCs w:val="20"/>
              </w:rPr>
              <w:t>满分</w:t>
            </w:r>
          </w:p>
        </w:tc>
        <w:tc>
          <w:tcPr>
            <w:tcW w:w="2953" w:type="dxa"/>
            <w:shd w:val="solid" w:color="00694A" w:fill="auto"/>
          </w:tcPr>
          <w:p w14:paraId="31313218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b/>
                <w:color w:val="FFFFFF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b/>
                <w:color w:val="FFFFFF"/>
                <w:sz w:val="20"/>
                <w:szCs w:val="20"/>
              </w:rPr>
              <w:t>核心逻辑</w:t>
            </w:r>
          </w:p>
        </w:tc>
      </w:tr>
      <w:tr w:rsidR="00FF3EB9" w14:paraId="548B6DFC" w14:textId="77777777">
        <w:tc>
          <w:tcPr>
            <w:tcW w:w="2109" w:type="dxa"/>
          </w:tcPr>
          <w:p w14:paraId="511302E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财务安全 (Safety)</w:t>
            </w:r>
          </w:p>
        </w:tc>
        <w:tc>
          <w:tcPr>
            <w:tcW w:w="2653" w:type="dxa"/>
          </w:tcPr>
          <w:p w14:paraId="11A6443A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资产负债率 + 数据逻辑校验</w:t>
            </w:r>
          </w:p>
        </w:tc>
        <w:tc>
          <w:tcPr>
            <w:tcW w:w="1245" w:type="dxa"/>
          </w:tcPr>
          <w:p w14:paraId="0A525E71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25分</w:t>
            </w:r>
          </w:p>
        </w:tc>
        <w:tc>
          <w:tcPr>
            <w:tcW w:w="2953" w:type="dxa"/>
          </w:tcPr>
          <w:p w14:paraId="13AD84B8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评估流动性枯竭或资不抵债风险</w:t>
            </w:r>
          </w:p>
        </w:tc>
      </w:tr>
      <w:tr w:rsidR="00FF3EB9" w14:paraId="5E1AC5C5" w14:textId="77777777">
        <w:tc>
          <w:tcPr>
            <w:tcW w:w="2109" w:type="dxa"/>
            <w:shd w:val="solid" w:color="F5F5F5" w:fill="auto"/>
          </w:tcPr>
          <w:p w14:paraId="3308FABA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盈利质量 (Profitability)</w:t>
            </w:r>
          </w:p>
        </w:tc>
        <w:tc>
          <w:tcPr>
            <w:tcW w:w="2653" w:type="dxa"/>
            <w:shd w:val="solid" w:color="F5F5F5" w:fill="auto"/>
          </w:tcPr>
          <w:p w14:paraId="56208B5C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ROE + 营业净利率 + 主营聚焦度</w:t>
            </w:r>
          </w:p>
        </w:tc>
        <w:tc>
          <w:tcPr>
            <w:tcW w:w="1245" w:type="dxa"/>
            <w:shd w:val="solid" w:color="F5F5F5" w:fill="auto"/>
          </w:tcPr>
          <w:p w14:paraId="2D1F5043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30分</w:t>
            </w:r>
          </w:p>
        </w:tc>
        <w:tc>
          <w:tcPr>
            <w:tcW w:w="2953" w:type="dxa"/>
            <w:shd w:val="solid" w:color="F5F5F5" w:fill="auto"/>
          </w:tcPr>
          <w:p w14:paraId="3A0CE6BD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评估主业清晰度和真实造血能力</w:t>
            </w:r>
          </w:p>
        </w:tc>
      </w:tr>
      <w:tr w:rsidR="00FF3EB9" w14:paraId="3F3D93CF" w14:textId="77777777">
        <w:tc>
          <w:tcPr>
            <w:tcW w:w="2109" w:type="dxa"/>
          </w:tcPr>
          <w:p w14:paraId="1235DD54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动态成长 (Growth)</w:t>
            </w:r>
          </w:p>
        </w:tc>
        <w:tc>
          <w:tcPr>
            <w:tcW w:w="2653" w:type="dxa"/>
          </w:tcPr>
          <w:p w14:paraId="7CE3368B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规模盈利剪刀差 + 资产营收</w:t>
            </w: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lastRenderedPageBreak/>
              <w:t>剪刀差</w:t>
            </w:r>
          </w:p>
        </w:tc>
        <w:tc>
          <w:tcPr>
            <w:tcW w:w="1245" w:type="dxa"/>
          </w:tcPr>
          <w:p w14:paraId="7D03BC30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lastRenderedPageBreak/>
              <w:t>25分</w:t>
            </w:r>
          </w:p>
        </w:tc>
        <w:tc>
          <w:tcPr>
            <w:tcW w:w="2953" w:type="dxa"/>
          </w:tcPr>
          <w:p w14:paraId="164A7A13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评估扩张模式是否健康</w:t>
            </w:r>
          </w:p>
        </w:tc>
      </w:tr>
      <w:tr w:rsidR="00FF3EB9" w14:paraId="20F8E112" w14:textId="77777777">
        <w:tc>
          <w:tcPr>
            <w:tcW w:w="2109" w:type="dxa"/>
            <w:shd w:val="solid" w:color="F5F5F5" w:fill="auto"/>
          </w:tcPr>
          <w:p w14:paraId="1A8A7912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人效杠杆 (Efficiency)</w:t>
            </w:r>
          </w:p>
        </w:tc>
        <w:tc>
          <w:tcPr>
            <w:tcW w:w="2653" w:type="dxa"/>
            <w:shd w:val="solid" w:color="F5F5F5" w:fill="auto"/>
          </w:tcPr>
          <w:p w14:paraId="728A30B3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人均创利 + 人均创利趋势</w:t>
            </w:r>
          </w:p>
        </w:tc>
        <w:tc>
          <w:tcPr>
            <w:tcW w:w="1245" w:type="dxa"/>
            <w:shd w:val="solid" w:color="F5F5F5" w:fill="auto"/>
          </w:tcPr>
          <w:p w14:paraId="33D5973F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20分</w:t>
            </w:r>
          </w:p>
        </w:tc>
        <w:tc>
          <w:tcPr>
            <w:tcW w:w="2953" w:type="dxa"/>
            <w:shd w:val="solid" w:color="F5F5F5" w:fill="auto"/>
          </w:tcPr>
          <w:p w14:paraId="2A970C7B" w14:textId="77777777" w:rsidR="00FF3EB9" w:rsidRDefault="00E9371A">
            <w:pPr>
              <w:jc w:val="center"/>
              <w:rPr>
                <w:rFonts w:ascii="微软雅黑" w:eastAsia="微软雅黑" w:hAnsi="微软雅黑" w:cs="微软雅黑"/>
                <w:color w:val="1F2D3D"/>
                <w:sz w:val="20"/>
                <w:szCs w:val="20"/>
              </w:rPr>
            </w:pPr>
            <w:r>
              <w:rPr>
                <w:rFonts w:ascii="微软雅黑" w:eastAsia="微软雅黑" w:hAnsi="微软雅黑" w:cs="微软雅黑" w:hint="eastAsia"/>
                <w:color w:val="1F2D3D"/>
                <w:sz w:val="20"/>
                <w:szCs w:val="20"/>
              </w:rPr>
              <w:t>评估组织活力与员工边际贡献</w:t>
            </w:r>
          </w:p>
        </w:tc>
      </w:tr>
    </w:tbl>
    <w:p w14:paraId="184D51D5" w14:textId="77777777" w:rsidR="00FF3EB9" w:rsidRDefault="00FF3EB9">
      <w:pPr>
        <w:spacing w:after="80"/>
        <w:jc w:val="left"/>
        <w:rPr>
          <w:rFonts w:ascii="微软雅黑" w:eastAsia="微软雅黑" w:hAnsi="微软雅黑" w:cs="微软雅黑"/>
          <w:b/>
          <w:bCs/>
          <w:color w:val="333333"/>
          <w:sz w:val="20"/>
          <w:szCs w:val="20"/>
        </w:rPr>
      </w:pPr>
    </w:p>
    <w:sectPr w:rsidR="00FF3EB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B7EA432"/>
    <w:multiLevelType w:val="singleLevel"/>
    <w:tmpl w:val="8B7EA432"/>
    <w:lvl w:ilvl="0">
      <w:start w:val="1"/>
      <w:numFmt w:val="bullet"/>
      <w:pStyle w:val="a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EB9"/>
    <w:rsid w:val="007D3168"/>
    <w:rsid w:val="00E9371A"/>
    <w:rsid w:val="00FF3EB9"/>
    <w:rsid w:val="0C5F1E33"/>
    <w:rsid w:val="11DB582F"/>
    <w:rsid w:val="1EA707DF"/>
    <w:rsid w:val="2EA76C89"/>
    <w:rsid w:val="2F186AAC"/>
    <w:rsid w:val="36C4629C"/>
    <w:rsid w:val="3F23062E"/>
    <w:rsid w:val="3F6825B0"/>
    <w:rsid w:val="4F352334"/>
    <w:rsid w:val="55B41FF1"/>
    <w:rsid w:val="59C137A2"/>
    <w:rsid w:val="5F786439"/>
    <w:rsid w:val="64DC3505"/>
    <w:rsid w:val="655422D9"/>
    <w:rsid w:val="6C0E18F7"/>
    <w:rsid w:val="6E3B4B01"/>
    <w:rsid w:val="6FB443C0"/>
    <w:rsid w:val="7D5A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4F4C7"/>
  <w15:docId w15:val="{A078CFA7-22F1-49EC-BF57-AEC0AE15A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semiHidden="1" w:uiPriority="99" w:unhideWhenUsed="1" w:qFormat="1"/>
    <w:lsdException w:name="caption" w:semiHidden="1" w:unhideWhenUsed="1" w:qFormat="1"/>
    <w:lsdException w:name="footnote reference" w:semiHidden="1" w:uiPriority="99" w:unhideWhenUsed="1" w:qFormat="1"/>
    <w:lsdException w:name="endnote reference" w:semiHidden="1" w:uiPriority="99" w:unhideWhenUsed="1" w:qFormat="1"/>
    <w:lsdException w:name="endnote text" w:semiHidden="1" w:uiPriority="99" w:unhideWhenUsed="1" w:qFormat="1"/>
    <w:lsdException w:name="List Bullet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next w:val="a0"/>
    <w:qFormat/>
    <w:pPr>
      <w:outlineLvl w:val="0"/>
    </w:pPr>
    <w:rPr>
      <w:rFonts w:asciiTheme="minorHAnsi" w:eastAsiaTheme="minorEastAsia" w:hAnsiTheme="minorHAnsi" w:cstheme="minorBidi"/>
      <w:color w:val="2E74B5"/>
      <w:sz w:val="32"/>
      <w:szCs w:val="32"/>
    </w:rPr>
  </w:style>
  <w:style w:type="paragraph" w:styleId="2">
    <w:name w:val="heading 2"/>
    <w:next w:val="a0"/>
    <w:qFormat/>
    <w:pPr>
      <w:outlineLvl w:val="1"/>
    </w:pPr>
    <w:rPr>
      <w:rFonts w:asciiTheme="minorHAnsi" w:eastAsiaTheme="minorEastAsia" w:hAnsiTheme="minorHAnsi" w:cstheme="minorBidi"/>
      <w:color w:val="2E74B5"/>
      <w:sz w:val="26"/>
      <w:szCs w:val="26"/>
    </w:rPr>
  </w:style>
  <w:style w:type="paragraph" w:styleId="3">
    <w:name w:val="heading 3"/>
    <w:next w:val="a0"/>
    <w:qFormat/>
    <w:pPr>
      <w:outlineLvl w:val="2"/>
    </w:pPr>
    <w:rPr>
      <w:rFonts w:asciiTheme="minorHAnsi" w:eastAsiaTheme="minorEastAsia" w:hAnsiTheme="minorHAnsi" w:cstheme="minorBidi"/>
      <w:color w:val="1F4D78"/>
      <w:sz w:val="24"/>
      <w:szCs w:val="24"/>
    </w:rPr>
  </w:style>
  <w:style w:type="paragraph" w:styleId="4">
    <w:name w:val="heading 4"/>
    <w:next w:val="a0"/>
    <w:qFormat/>
    <w:pPr>
      <w:outlineLvl w:val="3"/>
    </w:pPr>
    <w:rPr>
      <w:rFonts w:asciiTheme="minorHAnsi" w:eastAsiaTheme="minorEastAsia" w:hAnsiTheme="minorHAnsi" w:cstheme="minorBidi"/>
      <w:i/>
      <w:iCs/>
      <w:color w:val="2E74B5"/>
      <w:sz w:val="21"/>
      <w:szCs w:val="22"/>
    </w:rPr>
  </w:style>
  <w:style w:type="paragraph" w:styleId="5">
    <w:name w:val="heading 5"/>
    <w:next w:val="a0"/>
    <w:qFormat/>
    <w:pPr>
      <w:outlineLvl w:val="4"/>
    </w:pPr>
    <w:rPr>
      <w:rFonts w:asciiTheme="minorHAnsi" w:eastAsiaTheme="minorEastAsia" w:hAnsiTheme="minorHAnsi" w:cstheme="minorBidi"/>
      <w:color w:val="2E74B5"/>
      <w:sz w:val="21"/>
      <w:szCs w:val="22"/>
    </w:rPr>
  </w:style>
  <w:style w:type="paragraph" w:styleId="6">
    <w:name w:val="heading 6"/>
    <w:next w:val="a0"/>
    <w:qFormat/>
    <w:pPr>
      <w:outlineLvl w:val="5"/>
    </w:pPr>
    <w:rPr>
      <w:rFonts w:asciiTheme="minorHAnsi" w:eastAsiaTheme="minorEastAsia" w:hAnsiTheme="minorHAnsi" w:cstheme="minorBidi"/>
      <w:color w:val="1F4D78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qFormat/>
    <w:pPr>
      <w:numPr>
        <w:numId w:val="1"/>
      </w:numPr>
    </w:pPr>
  </w:style>
  <w:style w:type="paragraph" w:styleId="a4">
    <w:name w:val="endnote text"/>
    <w:link w:val="a5"/>
    <w:uiPriority w:val="99"/>
    <w:semiHidden/>
    <w:unhideWhenUsed/>
    <w:qFormat/>
    <w:rPr>
      <w:rFonts w:asciiTheme="minorHAnsi" w:eastAsiaTheme="minorEastAsia" w:hAnsiTheme="minorHAnsi" w:cstheme="minorBidi"/>
    </w:rPr>
  </w:style>
  <w:style w:type="paragraph" w:styleId="a6">
    <w:name w:val="footnote text"/>
    <w:link w:val="a7"/>
    <w:uiPriority w:val="99"/>
    <w:semiHidden/>
    <w:unhideWhenUsed/>
    <w:qFormat/>
    <w:rPr>
      <w:rFonts w:asciiTheme="minorHAnsi" w:eastAsiaTheme="minorEastAsia" w:hAnsiTheme="minorHAnsi" w:cstheme="minorBidi"/>
    </w:rPr>
  </w:style>
  <w:style w:type="paragraph" w:styleId="a8">
    <w:name w:val="Title"/>
    <w:qFormat/>
    <w:rPr>
      <w:rFonts w:asciiTheme="minorHAnsi" w:eastAsiaTheme="minorEastAsia" w:hAnsiTheme="minorHAnsi" w:cstheme="minorBidi"/>
      <w:sz w:val="56"/>
      <w:szCs w:val="56"/>
    </w:rPr>
  </w:style>
  <w:style w:type="table" w:styleId="a9">
    <w:name w:val="Table Grid"/>
    <w:basedOn w:val="a2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1"/>
    <w:qFormat/>
    <w:rPr>
      <w:b/>
    </w:rPr>
  </w:style>
  <w:style w:type="character" w:styleId="ab">
    <w:name w:val="endnote reference"/>
    <w:uiPriority w:val="99"/>
    <w:semiHidden/>
    <w:unhideWhenUsed/>
    <w:qFormat/>
    <w:rPr>
      <w:vertAlign w:val="superscript"/>
    </w:rPr>
  </w:style>
  <w:style w:type="character" w:styleId="ac">
    <w:name w:val="Hyperlink"/>
    <w:uiPriority w:val="99"/>
    <w:unhideWhenUsed/>
    <w:qFormat/>
    <w:rPr>
      <w:color w:val="0563C1"/>
      <w:u w:val="single"/>
    </w:rPr>
  </w:style>
  <w:style w:type="character" w:styleId="ad">
    <w:name w:val="footnote reference"/>
    <w:uiPriority w:val="99"/>
    <w:semiHidden/>
    <w:unhideWhenUsed/>
    <w:qFormat/>
    <w:rPr>
      <w:vertAlign w:val="superscript"/>
    </w:rPr>
  </w:style>
  <w:style w:type="paragraph" w:styleId="ae">
    <w:name w:val="List Paragraph"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a7">
    <w:name w:val="脚注文本 字符"/>
    <w:link w:val="a6"/>
    <w:uiPriority w:val="99"/>
    <w:semiHidden/>
    <w:unhideWhenUsed/>
    <w:qFormat/>
    <w:rPr>
      <w:sz w:val="20"/>
      <w:szCs w:val="20"/>
    </w:rPr>
  </w:style>
  <w:style w:type="character" w:customStyle="1" w:styleId="a5">
    <w:name w:val="尾注文本 字符"/>
    <w:link w:val="a4"/>
    <w:uiPriority w:val="99"/>
    <w:semiHidden/>
    <w:unhideWhenUsed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470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Administrator</cp:lastModifiedBy>
  <cp:revision>4</cp:revision>
  <dcterms:created xsi:type="dcterms:W3CDTF">2026-05-09T03:18:00Z</dcterms:created>
  <dcterms:modified xsi:type="dcterms:W3CDTF">2026-05-27T07:15:00Z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eyJoZGlkIjoiYjVlMzMzN2ViN2YxZTFlOGNiMWEwNWJmOTZjNTI2YmMiLCJ1c2VySWQiOiIxMjg1Mjg3MDYxIn0=</vt:lpwstr>
  </property>
  <property fmtid="{D5CDD505-2E9C-101B-9397-08002B2CF9AE}" pid="3" name="KSOProductBuildVer">
    <vt:lpwstr>2052-12.1.0.26375</vt:lpwstr>
  </property>
  <property fmtid="{D5CDD505-2E9C-101B-9397-08002B2CF9AE}" pid="4" name="ICV">
    <vt:lpwstr>89154B00428E4CF2A15A1BC2B72D9B1C_12</vt:lpwstr>
  </property>
</Properties>
</file>