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7B0C0" w14:textId="3C4F1C5D" w:rsidR="007B6C48" w:rsidRDefault="00B2052E">
      <w:pPr>
        <w:spacing w:after="120"/>
        <w:jc w:val="center"/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</w:pPr>
      <w:r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  <w:t>企业风险扫描技能使用手册</w:t>
      </w:r>
    </w:p>
    <w:p w14:paraId="41FFEBF5" w14:textId="16228124" w:rsidR="00B2052E" w:rsidRPr="00B2052E" w:rsidRDefault="00B2052E" w:rsidP="00B2052E">
      <w:pPr>
        <w:spacing w:after="120"/>
        <w:jc w:val="center"/>
        <w:textAlignment w:val="center"/>
        <w:rPr>
          <w:rFonts w:hint="eastAsia"/>
        </w:rPr>
      </w:pPr>
      <w:r>
        <w:rPr>
          <w:rFonts w:ascii="微软雅黑" w:eastAsia="微软雅黑" w:hAnsi="微软雅黑" w:cs="宋体" w:hint="eastAsia"/>
          <w:b/>
          <w:bCs/>
          <w:color w:val="E36C09"/>
          <w:sz w:val="28"/>
          <w:szCs w:val="28"/>
        </w:rPr>
        <w:t>示例：</w:t>
      </w:r>
      <w:r>
        <w:rPr>
          <w:rFonts w:ascii="微软雅黑" w:eastAsia="微软雅黑" w:hAnsi="微软雅黑" w:cs="宋体"/>
          <w:b/>
          <w:bCs/>
          <w:color w:val="E36C09"/>
          <w:sz w:val="28"/>
          <w:szCs w:val="28"/>
        </w:rPr>
        <w:object w:dxaOrig="1534" w:dyaOrig="1117" w14:anchorId="44C10E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5.5pt" o:ole="">
            <v:imagedata r:id="rId4" o:title=""/>
          </v:shape>
          <o:OLEObject Type="Embed" ProgID="Package" ShapeID="_x0000_i1025" DrawAspect="Icon" ObjectID="_1841387179" r:id="rId5"/>
        </w:object>
      </w:r>
      <w:bookmarkStart w:id="0" w:name="_GoBack"/>
      <w:bookmarkEnd w:id="0"/>
    </w:p>
    <w:p w14:paraId="59815E37" w14:textId="77777777" w:rsidR="007B6C48" w:rsidRDefault="00B2052E">
      <w:pPr>
        <w:pStyle w:val="1"/>
        <w:spacing w:before="36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 xml:space="preserve">1. </w:t>
      </w: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这个工具能帮你做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什么？</w:t>
      </w:r>
    </w:p>
    <w:p w14:paraId="32CB3CDF" w14:textId="77777777" w:rsidR="007B6C48" w:rsidRDefault="00B2052E">
      <w:pPr>
        <w:spacing w:after="12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这是一个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企业风险扫描工具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（</w:t>
      </w:r>
      <w:proofErr w:type="spellStart"/>
      <w:r>
        <w:rPr>
          <w:rFonts w:ascii="微软雅黑" w:eastAsia="微软雅黑" w:hAnsi="微软雅黑" w:cs="微软雅黑"/>
          <w:color w:val="333333"/>
          <w:sz w:val="20"/>
          <w:szCs w:val="20"/>
        </w:rPr>
        <w:t>qd</w:t>
      </w:r>
      <w:proofErr w:type="spellEnd"/>
      <w:r>
        <w:rPr>
          <w:rFonts w:ascii="微软雅黑" w:eastAsia="微软雅黑" w:hAnsi="微软雅黑" w:cs="微软雅黑"/>
          <w:color w:val="333333"/>
          <w:sz w:val="20"/>
          <w:szCs w:val="20"/>
        </w:rPr>
        <w:t>-company-risk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）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，输入企业名称即可深度扫描企业风险状况。覆盖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 xml:space="preserve"> 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6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大风险类别、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88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 xml:space="preserve"> </w:t>
      </w:r>
      <w:proofErr w:type="gramStart"/>
      <w:r>
        <w:rPr>
          <w:rFonts w:ascii="微软雅黑" w:eastAsia="微软雅黑" w:hAnsi="微软雅黑" w:cs="微软雅黑"/>
          <w:color w:val="333333"/>
          <w:sz w:val="20"/>
          <w:szCs w:val="20"/>
        </w:rPr>
        <w:t>个</w:t>
      </w:r>
      <w:proofErr w:type="gramEnd"/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自身风险点以及多项关联风险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，从财务健康到关联传染，从治理变动到合</w:t>
      </w:r>
      <w:proofErr w:type="gramStart"/>
      <w:r>
        <w:rPr>
          <w:rFonts w:ascii="微软雅黑" w:eastAsia="微软雅黑" w:hAnsi="微软雅黑" w:cs="微软雅黑"/>
          <w:color w:val="333333"/>
          <w:sz w:val="20"/>
          <w:szCs w:val="20"/>
        </w:rPr>
        <w:t>规</w:t>
      </w:r>
      <w:proofErr w:type="gramEnd"/>
      <w:r>
        <w:rPr>
          <w:rFonts w:ascii="微软雅黑" w:eastAsia="微软雅黑" w:hAnsi="微软雅黑" w:cs="微软雅黑"/>
          <w:color w:val="333333"/>
          <w:sz w:val="20"/>
          <w:szCs w:val="20"/>
        </w:rPr>
        <w:t>黑名单，形成完整的企业风险画像。</w:t>
      </w:r>
    </w:p>
    <w:p w14:paraId="1986A2F4" w14:textId="77777777" w:rsidR="007B6C48" w:rsidRDefault="00B2052E">
      <w:pPr>
        <w:spacing w:after="12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 w:val="20"/>
          <w:szCs w:val="20"/>
        </w:rPr>
        <w:t>适用场景：</w:t>
      </w:r>
      <w:proofErr w:type="gramStart"/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尽调风</w:t>
      </w:r>
      <w:proofErr w:type="gramEnd"/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控、供应商准入、投前筛查、贷前审查、合作</w:t>
      </w:r>
      <w:proofErr w:type="gramStart"/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方背景</w:t>
      </w:r>
      <w:proofErr w:type="gramEnd"/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调查</w:t>
      </w:r>
    </w:p>
    <w:p w14:paraId="1E253851" w14:textId="77777777" w:rsidR="007B6C48" w:rsidRDefault="00B2052E">
      <w:pPr>
        <w:spacing w:after="120"/>
        <w:jc w:val="left"/>
      </w:pPr>
      <w:r>
        <w:rPr>
          <w:rFonts w:ascii="微软雅黑" w:eastAsia="微软雅黑" w:hAnsi="微软雅黑" w:cs="微软雅黑"/>
          <w:color w:val="CC6600"/>
          <w:sz w:val="20"/>
          <w:szCs w:val="20"/>
        </w:rPr>
        <w:t>温馨提示：风险扫描后可一键加入「</w:t>
      </w:r>
      <w:r>
        <w:rPr>
          <w:rFonts w:ascii="微软雅黑" w:eastAsia="微软雅黑" w:hAnsi="微软雅黑" w:cs="微软雅黑" w:hint="eastAsia"/>
          <w:color w:val="CC6600"/>
          <w:sz w:val="20"/>
          <w:szCs w:val="20"/>
        </w:rPr>
        <w:t>监控预警</w:t>
      </w:r>
      <w:r>
        <w:rPr>
          <w:rFonts w:ascii="微软雅黑" w:eastAsia="微软雅黑" w:hAnsi="微软雅黑" w:cs="微软雅黑"/>
          <w:color w:val="CC6600"/>
          <w:sz w:val="20"/>
          <w:szCs w:val="20"/>
        </w:rPr>
        <w:t>」，持续跟踪企业动态</w:t>
      </w:r>
      <w:r>
        <w:rPr>
          <w:rFonts w:ascii="微软雅黑" w:eastAsia="微软雅黑" w:hAnsi="微软雅黑" w:cs="微软雅黑" w:hint="eastAsia"/>
          <w:color w:val="CC6600"/>
          <w:sz w:val="20"/>
          <w:szCs w:val="20"/>
        </w:rPr>
        <w:t>，</w:t>
      </w:r>
      <w:r>
        <w:rPr>
          <w:rFonts w:ascii="微软雅黑" w:eastAsia="微软雅黑" w:hAnsi="微软雅黑" w:cs="微软雅黑"/>
          <w:color w:val="CC6600"/>
          <w:sz w:val="20"/>
          <w:szCs w:val="20"/>
        </w:rPr>
        <w:t>加入后系统将自动监测企业动态。</w:t>
      </w:r>
    </w:p>
    <w:p w14:paraId="4C878CAC" w14:textId="77777777" w:rsidR="007B6C48" w:rsidRDefault="00B2052E">
      <w:pPr>
        <w:pStyle w:val="1"/>
        <w:spacing w:before="360" w:after="200"/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2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 xml:space="preserve">. </w:t>
      </w: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核心功能</w:t>
      </w:r>
    </w:p>
    <w:p w14:paraId="65F8D907" w14:textId="77777777" w:rsidR="007B6C48" w:rsidRDefault="00B2052E">
      <w:pPr>
        <w:pStyle w:val="1"/>
        <w:spacing w:before="360" w:after="200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输入企业名称，快速评估风险等级与评分，深度扫描每个风险点的具体内容。</w:t>
      </w:r>
    </w:p>
    <w:p w14:paraId="17BEB900" w14:textId="77777777" w:rsidR="007B6C48" w:rsidRDefault="00B2052E">
      <w:pPr>
        <w:spacing w:before="200" w:after="100"/>
        <w:rPr>
          <w:rFonts w:ascii="微软雅黑" w:eastAsia="微软雅黑" w:hAnsi="微软雅黑" w:cs="微软雅黑"/>
          <w:b/>
          <w:bCs/>
          <w:color w:val="00694A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color w:val="00694A"/>
          <w:sz w:val="20"/>
          <w:szCs w:val="20"/>
        </w:rPr>
        <w:t>风险分类体系</w:t>
      </w:r>
      <w:r>
        <w:rPr>
          <w:rFonts w:ascii="微软雅黑" w:eastAsia="微软雅黑" w:hAnsi="微软雅黑" w:cs="微软雅黑" w:hint="eastAsia"/>
          <w:b/>
          <w:bCs/>
          <w:color w:val="00694A"/>
          <w:sz w:val="20"/>
          <w:szCs w:val="20"/>
        </w:rPr>
        <w:t>：</w:t>
      </w:r>
    </w:p>
    <w:tbl>
      <w:tblPr>
        <w:tblpPr w:leftFromText="180" w:rightFromText="180" w:vertAnchor="text" w:horzAnchor="page" w:tblpX="1438" w:tblpY="52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2"/>
        <w:gridCol w:w="1801"/>
        <w:gridCol w:w="4961"/>
        <w:gridCol w:w="902"/>
      </w:tblGrid>
      <w:tr w:rsidR="007B6C48" w14:paraId="3722B0AA" w14:textId="77777777">
        <w:trPr>
          <w:tblHeader/>
        </w:trPr>
        <w:tc>
          <w:tcPr>
            <w:tcW w:w="750" w:type="pct"/>
            <w:shd w:val="solid" w:color="00694A" w:fill="auto"/>
          </w:tcPr>
          <w:p w14:paraId="72DA488F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大类</w:t>
            </w:r>
          </w:p>
        </w:tc>
        <w:tc>
          <w:tcPr>
            <w:tcW w:w="999" w:type="pct"/>
            <w:shd w:val="solid" w:color="00694A" w:fill="auto"/>
          </w:tcPr>
          <w:p w14:paraId="7BEDA13B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小类</w:t>
            </w:r>
          </w:p>
        </w:tc>
        <w:tc>
          <w:tcPr>
            <w:tcW w:w="2750" w:type="pct"/>
            <w:shd w:val="solid" w:color="00694A" w:fill="auto"/>
          </w:tcPr>
          <w:p w14:paraId="15DA29F7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风险点</w:t>
            </w:r>
          </w:p>
        </w:tc>
        <w:tc>
          <w:tcPr>
            <w:tcW w:w="500" w:type="pct"/>
            <w:shd w:val="solid" w:color="00694A" w:fill="auto"/>
          </w:tcPr>
          <w:p w14:paraId="571F7332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数量</w:t>
            </w:r>
          </w:p>
        </w:tc>
      </w:tr>
      <w:tr w:rsidR="007B6C48" w14:paraId="48911A5A" w14:textId="77777777">
        <w:tc>
          <w:tcPr>
            <w:tcW w:w="750" w:type="pct"/>
            <w:vAlign w:val="center"/>
          </w:tcPr>
          <w:p w14:paraId="5241F9AA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  <w:t>停业风险</w:t>
            </w:r>
          </w:p>
        </w:tc>
        <w:tc>
          <w:tcPr>
            <w:tcW w:w="999" w:type="pct"/>
            <w:vAlign w:val="center"/>
          </w:tcPr>
          <w:p w14:paraId="17B89E9C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停业风险</w:t>
            </w:r>
          </w:p>
        </w:tc>
        <w:tc>
          <w:tcPr>
            <w:tcW w:w="2750" w:type="pct"/>
            <w:vAlign w:val="center"/>
          </w:tcPr>
          <w:p w14:paraId="5F107EC2" w14:textId="77777777" w:rsidR="007B6C48" w:rsidRDefault="00B2052E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被申请破产清算、清算信息、注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吊销</w:t>
            </w:r>
          </w:p>
        </w:tc>
        <w:tc>
          <w:tcPr>
            <w:tcW w:w="500" w:type="pct"/>
            <w:vAlign w:val="center"/>
          </w:tcPr>
          <w:p w14:paraId="3B1BCF86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</w:tr>
      <w:tr w:rsidR="007B6C48" w14:paraId="4DCBFBCA" w14:textId="77777777">
        <w:tc>
          <w:tcPr>
            <w:tcW w:w="750" w:type="pct"/>
            <w:vAlign w:val="center"/>
          </w:tcPr>
          <w:p w14:paraId="0CF36BA7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  <w:t>治理风险</w:t>
            </w:r>
          </w:p>
        </w:tc>
        <w:tc>
          <w:tcPr>
            <w:tcW w:w="999" w:type="pct"/>
            <w:vAlign w:val="center"/>
          </w:tcPr>
          <w:p w14:paraId="36577885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经营变动</w:t>
            </w:r>
          </w:p>
        </w:tc>
        <w:tc>
          <w:tcPr>
            <w:tcW w:w="2750" w:type="pct"/>
            <w:vAlign w:val="center"/>
          </w:tcPr>
          <w:p w14:paraId="70EB8DBF" w14:textId="77777777" w:rsidR="007B6C48" w:rsidRDefault="00B2052E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经营范围变更、注册地址变更、管理层频繁变动、董</w:t>
            </w:r>
            <w:proofErr w:type="gramStart"/>
            <w:r>
              <w:rPr>
                <w:rFonts w:ascii="微软雅黑" w:eastAsia="微软雅黑" w:hAnsi="微软雅黑" w:cs="微软雅黑"/>
                <w:sz w:val="18"/>
                <w:szCs w:val="18"/>
              </w:rPr>
              <w:t>监高变更</w:t>
            </w:r>
            <w:proofErr w:type="gramEnd"/>
            <w:r>
              <w:rPr>
                <w:rFonts w:ascii="微软雅黑" w:eastAsia="微软雅黑" w:hAnsi="微软雅黑" w:cs="微软雅黑"/>
                <w:sz w:val="18"/>
                <w:szCs w:val="18"/>
              </w:rPr>
              <w:t>、股东变更、注册资本减少、法人变更</w:t>
            </w:r>
          </w:p>
        </w:tc>
        <w:tc>
          <w:tcPr>
            <w:tcW w:w="500" w:type="pct"/>
            <w:vAlign w:val="center"/>
          </w:tcPr>
          <w:p w14:paraId="066138EE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7</w:t>
            </w:r>
          </w:p>
        </w:tc>
      </w:tr>
      <w:tr w:rsidR="007B6C48" w14:paraId="0DD398C0" w14:textId="77777777">
        <w:tc>
          <w:tcPr>
            <w:tcW w:w="750" w:type="pct"/>
            <w:vMerge w:val="restart"/>
            <w:vAlign w:val="center"/>
          </w:tcPr>
          <w:p w14:paraId="2E2643A1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  <w:t>财务风险</w:t>
            </w:r>
          </w:p>
        </w:tc>
        <w:tc>
          <w:tcPr>
            <w:tcW w:w="999" w:type="pct"/>
            <w:vAlign w:val="center"/>
          </w:tcPr>
          <w:p w14:paraId="4A9FAB8E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抵押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担保</w:t>
            </w:r>
          </w:p>
        </w:tc>
        <w:tc>
          <w:tcPr>
            <w:tcW w:w="2750" w:type="pct"/>
            <w:vAlign w:val="center"/>
          </w:tcPr>
          <w:p w14:paraId="19A3A017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股权质押、动产抵押、对外担保、商标质押</w:t>
            </w:r>
          </w:p>
        </w:tc>
        <w:tc>
          <w:tcPr>
            <w:tcW w:w="500" w:type="pct"/>
            <w:vAlign w:val="center"/>
          </w:tcPr>
          <w:p w14:paraId="40844A17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</w:tr>
      <w:tr w:rsidR="007B6C48" w14:paraId="7BD52A55" w14:textId="77777777">
        <w:tc>
          <w:tcPr>
            <w:tcW w:w="750" w:type="pct"/>
            <w:vMerge/>
            <w:vAlign w:val="center"/>
          </w:tcPr>
          <w:p w14:paraId="426B9032" w14:textId="77777777" w:rsidR="007B6C48" w:rsidRDefault="007B6C48">
            <w:pPr>
              <w:jc w:val="center"/>
            </w:pPr>
          </w:p>
        </w:tc>
        <w:tc>
          <w:tcPr>
            <w:tcW w:w="999" w:type="pct"/>
            <w:vAlign w:val="center"/>
          </w:tcPr>
          <w:p w14:paraId="0004E4C7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司法协助</w:t>
            </w:r>
          </w:p>
        </w:tc>
        <w:tc>
          <w:tcPr>
            <w:tcW w:w="2750" w:type="pct"/>
            <w:vAlign w:val="center"/>
          </w:tcPr>
          <w:p w14:paraId="729C98C7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司法协助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股权冻结、司法协助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股东变更</w:t>
            </w:r>
          </w:p>
        </w:tc>
        <w:tc>
          <w:tcPr>
            <w:tcW w:w="500" w:type="pct"/>
            <w:vAlign w:val="center"/>
          </w:tcPr>
          <w:p w14:paraId="34AD7E1D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2</w:t>
            </w:r>
          </w:p>
        </w:tc>
      </w:tr>
      <w:tr w:rsidR="007B6C48" w14:paraId="5CEA3173" w14:textId="77777777">
        <w:tc>
          <w:tcPr>
            <w:tcW w:w="750" w:type="pct"/>
            <w:vMerge/>
            <w:vAlign w:val="center"/>
          </w:tcPr>
          <w:p w14:paraId="0BB39FF1" w14:textId="77777777" w:rsidR="007B6C48" w:rsidRDefault="007B6C48">
            <w:pPr>
              <w:jc w:val="center"/>
            </w:pPr>
          </w:p>
        </w:tc>
        <w:tc>
          <w:tcPr>
            <w:tcW w:w="999" w:type="pct"/>
            <w:vAlign w:val="center"/>
          </w:tcPr>
          <w:p w14:paraId="5F5B61E2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行业对比异常</w:t>
            </w:r>
          </w:p>
        </w:tc>
        <w:tc>
          <w:tcPr>
            <w:tcW w:w="2750" w:type="pct"/>
            <w:vAlign w:val="center"/>
          </w:tcPr>
          <w:p w14:paraId="03846B59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偿债能力异常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资不抵债、营运能力异常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资产周转异常、行业对比异常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负债水平异常、行业对比异常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盈利能力异常、行业对比异常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收入能力异常</w:t>
            </w:r>
          </w:p>
        </w:tc>
        <w:tc>
          <w:tcPr>
            <w:tcW w:w="500" w:type="pct"/>
            <w:vAlign w:val="center"/>
          </w:tcPr>
          <w:p w14:paraId="49EA7A41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5</w:t>
            </w:r>
          </w:p>
        </w:tc>
      </w:tr>
      <w:tr w:rsidR="007B6C48" w14:paraId="5ABC8431" w14:textId="77777777">
        <w:tc>
          <w:tcPr>
            <w:tcW w:w="750" w:type="pct"/>
            <w:vMerge/>
            <w:vAlign w:val="center"/>
          </w:tcPr>
          <w:p w14:paraId="1244C673" w14:textId="77777777" w:rsidR="007B6C48" w:rsidRDefault="007B6C48">
            <w:pPr>
              <w:jc w:val="center"/>
            </w:pPr>
          </w:p>
        </w:tc>
        <w:tc>
          <w:tcPr>
            <w:tcW w:w="999" w:type="pct"/>
            <w:vAlign w:val="center"/>
          </w:tcPr>
          <w:p w14:paraId="713BF400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业绩成长能力异常</w:t>
            </w:r>
          </w:p>
        </w:tc>
        <w:tc>
          <w:tcPr>
            <w:tcW w:w="2750" w:type="pct"/>
            <w:vAlign w:val="center"/>
          </w:tcPr>
          <w:p w14:paraId="2A8C2389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资产总额降低、利润下降、营业收入降低、营业收入明显降低</w:t>
            </w:r>
          </w:p>
        </w:tc>
        <w:tc>
          <w:tcPr>
            <w:tcW w:w="500" w:type="pct"/>
            <w:vAlign w:val="center"/>
          </w:tcPr>
          <w:p w14:paraId="237D334B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</w:tr>
      <w:tr w:rsidR="007B6C48" w14:paraId="4804A04D" w14:textId="77777777">
        <w:tc>
          <w:tcPr>
            <w:tcW w:w="750" w:type="pct"/>
            <w:vMerge/>
            <w:shd w:val="solid" w:color="E8F5E9" w:fill="auto"/>
            <w:vAlign w:val="center"/>
          </w:tcPr>
          <w:p w14:paraId="4651ECDF" w14:textId="77777777" w:rsidR="007B6C48" w:rsidRDefault="007B6C48">
            <w:pPr>
              <w:jc w:val="center"/>
            </w:pPr>
          </w:p>
        </w:tc>
        <w:tc>
          <w:tcPr>
            <w:tcW w:w="999" w:type="pct"/>
            <w:shd w:val="solid" w:color="E8F5E9" w:fill="auto"/>
            <w:vAlign w:val="center"/>
          </w:tcPr>
          <w:p w14:paraId="3458217A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盈利能力异常</w:t>
            </w:r>
          </w:p>
        </w:tc>
        <w:tc>
          <w:tcPr>
            <w:tcW w:w="2750" w:type="pct"/>
            <w:shd w:val="solid" w:color="E8F5E9" w:fill="auto"/>
            <w:vAlign w:val="center"/>
          </w:tcPr>
          <w:p w14:paraId="7EB560B6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资本收益率下降、经营亏损、经营严重亏损、利润率下降</w:t>
            </w:r>
          </w:p>
        </w:tc>
        <w:tc>
          <w:tcPr>
            <w:tcW w:w="500" w:type="pct"/>
            <w:shd w:val="solid" w:color="E8F5E9" w:fill="auto"/>
            <w:vAlign w:val="center"/>
          </w:tcPr>
          <w:p w14:paraId="41FE4987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</w:tr>
      <w:tr w:rsidR="007B6C48" w14:paraId="594964C2" w14:textId="77777777">
        <w:tc>
          <w:tcPr>
            <w:tcW w:w="750" w:type="pct"/>
            <w:vMerge w:val="restart"/>
            <w:vAlign w:val="center"/>
          </w:tcPr>
          <w:p w14:paraId="4C648232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  <w:t>经营风险</w:t>
            </w:r>
          </w:p>
        </w:tc>
        <w:tc>
          <w:tcPr>
            <w:tcW w:w="999" w:type="pct"/>
            <w:vAlign w:val="center"/>
          </w:tcPr>
          <w:p w14:paraId="5591E128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经营萎缩</w:t>
            </w:r>
          </w:p>
        </w:tc>
        <w:tc>
          <w:tcPr>
            <w:tcW w:w="2750" w:type="pct"/>
            <w:vAlign w:val="center"/>
          </w:tcPr>
          <w:p w14:paraId="300EE267" w14:textId="77777777" w:rsidR="007B6C48" w:rsidRDefault="00B2052E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大股东减持、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地域萎缩、业务萎缩、人员萎缩、资本萎缩</w:t>
            </w:r>
          </w:p>
        </w:tc>
        <w:tc>
          <w:tcPr>
            <w:tcW w:w="500" w:type="pct"/>
            <w:vAlign w:val="center"/>
          </w:tcPr>
          <w:p w14:paraId="108035C3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5</w:t>
            </w:r>
          </w:p>
        </w:tc>
      </w:tr>
      <w:tr w:rsidR="007B6C48" w14:paraId="403A0CE2" w14:textId="77777777">
        <w:tc>
          <w:tcPr>
            <w:tcW w:w="750" w:type="pct"/>
            <w:vMerge/>
            <w:shd w:val="solid" w:color="E8F5E9" w:fill="auto"/>
            <w:vAlign w:val="center"/>
          </w:tcPr>
          <w:p w14:paraId="648354E9" w14:textId="77777777" w:rsidR="007B6C48" w:rsidRDefault="007B6C48">
            <w:pPr>
              <w:jc w:val="center"/>
            </w:pPr>
          </w:p>
        </w:tc>
        <w:tc>
          <w:tcPr>
            <w:tcW w:w="999" w:type="pct"/>
            <w:shd w:val="solid" w:color="E8F5E9" w:fill="auto"/>
            <w:vAlign w:val="center"/>
          </w:tcPr>
          <w:p w14:paraId="24A974EB" w14:textId="77777777" w:rsidR="007B6C48" w:rsidRDefault="00B2052E">
            <w:pPr>
              <w:jc w:val="center"/>
              <w:rPr>
                <w:rFonts w:eastAsia="微软雅黑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经营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提示</w:t>
            </w:r>
          </w:p>
        </w:tc>
        <w:tc>
          <w:tcPr>
            <w:tcW w:w="2750" w:type="pct"/>
            <w:shd w:val="solid" w:color="E8F5E9" w:fill="auto"/>
            <w:vAlign w:val="center"/>
          </w:tcPr>
          <w:p w14:paraId="53554A90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涉足房地产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经营范围增加、涉足房地产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投资房地产企业、证照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知识产权即将到期、企业高速扩张</w:t>
            </w:r>
          </w:p>
        </w:tc>
        <w:tc>
          <w:tcPr>
            <w:tcW w:w="500" w:type="pct"/>
            <w:shd w:val="solid" w:color="E8F5E9" w:fill="auto"/>
            <w:vAlign w:val="center"/>
          </w:tcPr>
          <w:p w14:paraId="237A9626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</w:tr>
      <w:tr w:rsidR="007B6C48" w14:paraId="7056D1BF" w14:textId="77777777">
        <w:tc>
          <w:tcPr>
            <w:tcW w:w="750" w:type="pct"/>
            <w:vMerge w:val="restart"/>
            <w:vAlign w:val="center"/>
          </w:tcPr>
          <w:p w14:paraId="539D487D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  <w:t>合</w:t>
            </w:r>
            <w:proofErr w:type="gramStart"/>
            <w:r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  <w:t>规</w:t>
            </w:r>
            <w:proofErr w:type="gramEnd"/>
            <w:r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  <w:t>风险</w:t>
            </w:r>
          </w:p>
        </w:tc>
        <w:tc>
          <w:tcPr>
            <w:tcW w:w="999" w:type="pct"/>
            <w:vAlign w:val="center"/>
          </w:tcPr>
          <w:p w14:paraId="122984FB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被执行人</w:t>
            </w:r>
          </w:p>
        </w:tc>
        <w:tc>
          <w:tcPr>
            <w:tcW w:w="2750" w:type="pct"/>
            <w:vAlign w:val="center"/>
          </w:tcPr>
          <w:p w14:paraId="188AA286" w14:textId="77777777" w:rsidR="007B6C48" w:rsidRDefault="00B2052E">
            <w:pPr>
              <w:jc w:val="left"/>
              <w:rPr>
                <w:rFonts w:eastAsia="微软雅黑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违约程度非常严重、较严重、轻微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；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单个案件涉案金额很大、较大、较小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；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案件总额很大、较大、较小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；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案件数量很多、较多、较少</w:t>
            </w:r>
          </w:p>
        </w:tc>
        <w:tc>
          <w:tcPr>
            <w:tcW w:w="500" w:type="pct"/>
            <w:vAlign w:val="center"/>
          </w:tcPr>
          <w:p w14:paraId="5DB59F8C" w14:textId="77777777" w:rsidR="007B6C48" w:rsidRDefault="00B2052E">
            <w:pPr>
              <w:tabs>
                <w:tab w:val="left" w:pos="353"/>
                <w:tab w:val="center" w:pos="501"/>
              </w:tabs>
              <w:jc w:val="left"/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ab/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12</w:t>
            </w:r>
          </w:p>
        </w:tc>
      </w:tr>
      <w:tr w:rsidR="007B6C48" w14:paraId="5DD198EE" w14:textId="77777777">
        <w:tc>
          <w:tcPr>
            <w:tcW w:w="750" w:type="pct"/>
            <w:vMerge/>
            <w:vAlign w:val="center"/>
          </w:tcPr>
          <w:p w14:paraId="74ABCAC1" w14:textId="77777777" w:rsidR="007B6C48" w:rsidRDefault="007B6C48">
            <w:pPr>
              <w:jc w:val="center"/>
            </w:pPr>
          </w:p>
        </w:tc>
        <w:tc>
          <w:tcPr>
            <w:tcW w:w="999" w:type="pct"/>
            <w:vAlign w:val="center"/>
          </w:tcPr>
          <w:p w14:paraId="4C1F5E4C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行政处罚</w:t>
            </w:r>
          </w:p>
        </w:tc>
        <w:tc>
          <w:tcPr>
            <w:tcW w:w="2750" w:type="pct"/>
            <w:vAlign w:val="center"/>
          </w:tcPr>
          <w:p w14:paraId="047616A8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证监会行政处罚、工商行政处罚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重点部委、工商行政处罚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其他部委</w:t>
            </w:r>
          </w:p>
        </w:tc>
        <w:tc>
          <w:tcPr>
            <w:tcW w:w="500" w:type="pct"/>
            <w:vAlign w:val="center"/>
          </w:tcPr>
          <w:p w14:paraId="17C1DDC4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</w:tr>
      <w:tr w:rsidR="007B6C48" w14:paraId="76361EBD" w14:textId="77777777">
        <w:tc>
          <w:tcPr>
            <w:tcW w:w="750" w:type="pct"/>
            <w:vMerge/>
            <w:vAlign w:val="center"/>
          </w:tcPr>
          <w:p w14:paraId="7547FFA0" w14:textId="77777777" w:rsidR="007B6C48" w:rsidRDefault="007B6C48">
            <w:pPr>
              <w:jc w:val="center"/>
            </w:pPr>
          </w:p>
        </w:tc>
        <w:tc>
          <w:tcPr>
            <w:tcW w:w="999" w:type="pct"/>
            <w:vAlign w:val="center"/>
          </w:tcPr>
          <w:p w14:paraId="7F559954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被列入黑名单</w:t>
            </w:r>
          </w:p>
        </w:tc>
        <w:tc>
          <w:tcPr>
            <w:tcW w:w="2750" w:type="pct"/>
            <w:vAlign w:val="center"/>
          </w:tcPr>
          <w:p w14:paraId="6A3796C2" w14:textId="77777777" w:rsidR="007B6C48" w:rsidRDefault="00B2052E">
            <w:pPr>
              <w:jc w:val="left"/>
              <w:rPr>
                <w:rFonts w:eastAsia="微软雅黑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失信被执行人信息、重大税收违法案件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…</w:t>
            </w:r>
          </w:p>
        </w:tc>
        <w:tc>
          <w:tcPr>
            <w:tcW w:w="500" w:type="pct"/>
            <w:vAlign w:val="center"/>
          </w:tcPr>
          <w:p w14:paraId="1DCA3431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19</w:t>
            </w:r>
          </w:p>
        </w:tc>
      </w:tr>
      <w:tr w:rsidR="007B6C48" w14:paraId="17E3D617" w14:textId="77777777">
        <w:tc>
          <w:tcPr>
            <w:tcW w:w="750" w:type="pct"/>
            <w:vMerge/>
            <w:shd w:val="solid" w:color="E8F5E9" w:fill="auto"/>
            <w:vAlign w:val="center"/>
          </w:tcPr>
          <w:p w14:paraId="02F3EF76" w14:textId="77777777" w:rsidR="007B6C48" w:rsidRDefault="007B6C48">
            <w:pPr>
              <w:jc w:val="center"/>
            </w:pPr>
          </w:p>
        </w:tc>
        <w:tc>
          <w:tcPr>
            <w:tcW w:w="999" w:type="pct"/>
            <w:shd w:val="solid" w:color="E8F5E9" w:fill="auto"/>
            <w:vAlign w:val="center"/>
          </w:tcPr>
          <w:p w14:paraId="45227B68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法院公告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裁决文书</w:t>
            </w:r>
          </w:p>
        </w:tc>
        <w:tc>
          <w:tcPr>
            <w:tcW w:w="2750" w:type="pct"/>
            <w:shd w:val="solid" w:color="E8F5E9" w:fill="auto"/>
            <w:vAlign w:val="center"/>
          </w:tcPr>
          <w:p w14:paraId="6C762B95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法院公告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被告、法院公告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原告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未知、裁决文书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被告、裁决文书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原告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未知</w:t>
            </w:r>
          </w:p>
        </w:tc>
        <w:tc>
          <w:tcPr>
            <w:tcW w:w="500" w:type="pct"/>
            <w:shd w:val="solid" w:color="E8F5E9" w:fill="auto"/>
            <w:vAlign w:val="center"/>
          </w:tcPr>
          <w:p w14:paraId="2D919F3C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</w:tr>
      <w:tr w:rsidR="007B6C48" w14:paraId="18C0F8B0" w14:textId="77777777">
        <w:tc>
          <w:tcPr>
            <w:tcW w:w="750" w:type="pct"/>
            <w:vMerge w:val="restart"/>
            <w:shd w:val="solid" w:color="E8F5E9" w:fill="auto"/>
            <w:vAlign w:val="center"/>
          </w:tcPr>
          <w:p w14:paraId="7DF61974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 w:hint="eastAsia"/>
                <w:b/>
                <w:bCs/>
                <w:sz w:val="18"/>
                <w:szCs w:val="18"/>
              </w:rPr>
              <w:t>欺诈风险</w:t>
            </w:r>
          </w:p>
        </w:tc>
        <w:tc>
          <w:tcPr>
            <w:tcW w:w="999" w:type="pct"/>
            <w:shd w:val="solid" w:color="E8F5E9" w:fill="auto"/>
            <w:vAlign w:val="center"/>
          </w:tcPr>
          <w:p w14:paraId="6CF6F548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疑似空壳企业</w:t>
            </w:r>
          </w:p>
        </w:tc>
        <w:tc>
          <w:tcPr>
            <w:tcW w:w="2750" w:type="pct"/>
            <w:shd w:val="solid" w:color="E8F5E9" w:fill="auto"/>
            <w:vAlign w:val="center"/>
          </w:tcPr>
          <w:p w14:paraId="242E53AA" w14:textId="77777777" w:rsidR="007B6C48" w:rsidRDefault="00B2052E">
            <w:pPr>
              <w:jc w:val="left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套牌公司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空壳团伙…</w:t>
            </w:r>
          </w:p>
        </w:tc>
        <w:tc>
          <w:tcPr>
            <w:tcW w:w="500" w:type="pct"/>
            <w:shd w:val="solid" w:color="E8F5E9" w:fill="auto"/>
            <w:vAlign w:val="center"/>
          </w:tcPr>
          <w:p w14:paraId="727C3B40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11</w:t>
            </w:r>
          </w:p>
        </w:tc>
      </w:tr>
      <w:tr w:rsidR="007B6C48" w14:paraId="0BB61DFC" w14:textId="77777777">
        <w:tc>
          <w:tcPr>
            <w:tcW w:w="750" w:type="pct"/>
            <w:vMerge/>
            <w:shd w:val="solid" w:color="E8F5E9" w:fill="auto"/>
            <w:vAlign w:val="center"/>
          </w:tcPr>
          <w:p w14:paraId="47FAF1F3" w14:textId="77777777" w:rsidR="007B6C48" w:rsidRDefault="007B6C48">
            <w:pPr>
              <w:jc w:val="center"/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</w:pPr>
          </w:p>
        </w:tc>
        <w:tc>
          <w:tcPr>
            <w:tcW w:w="999" w:type="pct"/>
            <w:shd w:val="solid" w:color="E8F5E9" w:fill="auto"/>
            <w:vAlign w:val="center"/>
          </w:tcPr>
          <w:p w14:paraId="13580CB1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高风险圈子</w:t>
            </w:r>
          </w:p>
        </w:tc>
        <w:tc>
          <w:tcPr>
            <w:tcW w:w="2750" w:type="pct"/>
            <w:shd w:val="solid" w:color="E8F5E9" w:fill="auto"/>
            <w:vAlign w:val="center"/>
          </w:tcPr>
          <w:p w14:paraId="566EB5AC" w14:textId="77777777" w:rsidR="007B6C48" w:rsidRDefault="00B2052E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涉及高风险圈子</w:t>
            </w:r>
          </w:p>
        </w:tc>
        <w:tc>
          <w:tcPr>
            <w:tcW w:w="500" w:type="pct"/>
            <w:shd w:val="solid" w:color="E8F5E9" w:fill="auto"/>
            <w:vAlign w:val="center"/>
          </w:tcPr>
          <w:p w14:paraId="5EE45E40" w14:textId="77777777" w:rsidR="007B6C48" w:rsidRDefault="00B2052E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1</w:t>
            </w:r>
          </w:p>
        </w:tc>
      </w:tr>
      <w:tr w:rsidR="007B6C48" w14:paraId="2A5D352A" w14:textId="77777777">
        <w:tc>
          <w:tcPr>
            <w:tcW w:w="750" w:type="pct"/>
            <w:vMerge w:val="restart"/>
            <w:shd w:val="solid" w:color="E8F5E9" w:fill="auto"/>
            <w:vAlign w:val="center"/>
          </w:tcPr>
          <w:p w14:paraId="2EDDCF9F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  <w:t>关联风险</w:t>
            </w:r>
          </w:p>
        </w:tc>
        <w:tc>
          <w:tcPr>
            <w:tcW w:w="999" w:type="pct"/>
            <w:shd w:val="solid" w:color="E8F5E9" w:fill="auto"/>
            <w:vAlign w:val="center"/>
          </w:tcPr>
          <w:p w14:paraId="27D71E6C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关联自然人</w:t>
            </w:r>
          </w:p>
        </w:tc>
        <w:tc>
          <w:tcPr>
            <w:tcW w:w="2750" w:type="pct"/>
            <w:shd w:val="solid" w:color="E8F5E9" w:fill="auto"/>
            <w:vAlign w:val="center"/>
          </w:tcPr>
          <w:p w14:paraId="1B8F5B7B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失信被执行、司法协助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股权冻结、司法协助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股权变更、股权出质</w:t>
            </w:r>
          </w:p>
        </w:tc>
        <w:tc>
          <w:tcPr>
            <w:tcW w:w="500" w:type="pct"/>
            <w:shd w:val="solid" w:color="E8F5E9" w:fill="auto"/>
            <w:vAlign w:val="center"/>
          </w:tcPr>
          <w:p w14:paraId="5F937EC5" w14:textId="77777777" w:rsidR="007B6C48" w:rsidRDefault="00B2052E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7B6C48" w14:paraId="316BAB55" w14:textId="77777777">
        <w:tc>
          <w:tcPr>
            <w:tcW w:w="750" w:type="pct"/>
            <w:vMerge/>
            <w:shd w:val="solid" w:color="E8F5E9" w:fill="auto"/>
            <w:vAlign w:val="center"/>
          </w:tcPr>
          <w:p w14:paraId="1F260F02" w14:textId="77777777" w:rsidR="007B6C48" w:rsidRDefault="007B6C48">
            <w:pPr>
              <w:jc w:val="center"/>
            </w:pPr>
          </w:p>
        </w:tc>
        <w:tc>
          <w:tcPr>
            <w:tcW w:w="999" w:type="pct"/>
            <w:shd w:val="solid" w:color="E8F5E9" w:fill="auto"/>
            <w:vAlign w:val="center"/>
          </w:tcPr>
          <w:p w14:paraId="16ED71D5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关联企业</w:t>
            </w:r>
          </w:p>
        </w:tc>
        <w:tc>
          <w:tcPr>
            <w:tcW w:w="2750" w:type="pct"/>
            <w:shd w:val="solid" w:color="E8F5E9" w:fill="auto"/>
            <w:vAlign w:val="center"/>
          </w:tcPr>
          <w:p w14:paraId="7668A107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关联企业风险事件</w:t>
            </w:r>
          </w:p>
        </w:tc>
        <w:tc>
          <w:tcPr>
            <w:tcW w:w="500" w:type="pct"/>
            <w:shd w:val="solid" w:color="E8F5E9" w:fill="auto"/>
            <w:vAlign w:val="center"/>
          </w:tcPr>
          <w:p w14:paraId="09E5EBDB" w14:textId="77777777" w:rsidR="007B6C48" w:rsidRDefault="00B2052E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</w:tbl>
    <w:p w14:paraId="352CE136" w14:textId="77777777" w:rsidR="007B6C48" w:rsidRDefault="00B2052E">
      <w:pPr>
        <w:spacing w:before="200" w:after="100"/>
      </w:pPr>
      <w:r>
        <w:rPr>
          <w:rFonts w:ascii="微软雅黑" w:eastAsia="微软雅黑" w:hAnsi="微软雅黑" w:cs="微软雅黑"/>
          <w:b/>
          <w:bCs/>
          <w:color w:val="00694A"/>
          <w:sz w:val="20"/>
          <w:szCs w:val="20"/>
        </w:rPr>
        <w:t>风险等级说明：</w:t>
      </w:r>
    </w:p>
    <w:p w14:paraId="284D0505" w14:textId="77777777" w:rsidR="007B6C48" w:rsidRDefault="00B2052E">
      <w:pPr>
        <w:spacing w:after="80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每个风险点根据严重程度分为不同等级（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1-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3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级），等级越高风险越严重。同一小类下的不同风险点可能具有不同等级，例如：</w:t>
      </w:r>
    </w:p>
    <w:p w14:paraId="1CF403C2" w14:textId="77777777" w:rsidR="007B6C48" w:rsidRDefault="00B2052E">
      <w:pPr>
        <w:spacing w:after="80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 xml:space="preserve">• 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被执行人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-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违约程度：非常严重（等级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3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）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 xml:space="preserve"> &gt; 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较严重（等级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2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）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 xml:space="preserve"> &gt; 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轻微（等级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1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）</w:t>
      </w:r>
    </w:p>
    <w:p w14:paraId="1BB91E18" w14:textId="77777777" w:rsidR="007B6C48" w:rsidRDefault="00B2052E">
      <w:pPr>
        <w:spacing w:after="40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 xml:space="preserve">• 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被执行人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-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涉案金额：金额很大（等级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3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）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 xml:space="preserve"> &gt; 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较大（等级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2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）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 xml:space="preserve"> &gt; 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较小（等级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1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）</w:t>
      </w:r>
    </w:p>
    <w:p w14:paraId="0B2A0F52" w14:textId="77777777" w:rsidR="007B6C48" w:rsidRDefault="00B2052E">
      <w:pPr>
        <w:spacing w:after="200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风险评估结果会按等级从高到低排序，优先关注高等级风险点。</w:t>
      </w:r>
    </w:p>
    <w:p w14:paraId="075EA6D0" w14:textId="77777777" w:rsidR="007B6C48" w:rsidRDefault="00B2052E">
      <w:pPr>
        <w:pStyle w:val="1"/>
        <w:spacing w:before="360" w:after="200"/>
      </w:pP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3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 xml:space="preserve">. 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快速上手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6"/>
        <w:gridCol w:w="5410"/>
      </w:tblGrid>
      <w:tr w:rsidR="007B6C48" w14:paraId="4D4C140B" w14:textId="77777777">
        <w:tc>
          <w:tcPr>
            <w:tcW w:w="2000" w:type="pct"/>
            <w:shd w:val="solid" w:color="00694A" w:fill="auto"/>
          </w:tcPr>
          <w:p w14:paraId="62C97F57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你想知道</w:t>
            </w:r>
          </w:p>
        </w:tc>
        <w:tc>
          <w:tcPr>
            <w:tcW w:w="3000" w:type="pct"/>
            <w:shd w:val="solid" w:color="00694A" w:fill="auto"/>
          </w:tcPr>
          <w:p w14:paraId="393C5B58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这样说</w:t>
            </w:r>
          </w:p>
        </w:tc>
      </w:tr>
      <w:tr w:rsidR="007B6C48" w14:paraId="7087AFC7" w14:textId="77777777">
        <w:tc>
          <w:tcPr>
            <w:tcW w:w="2000" w:type="pct"/>
          </w:tcPr>
          <w:p w14:paraId="369B0E75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企业风险等级和评分</w:t>
            </w:r>
          </w:p>
        </w:tc>
        <w:tc>
          <w:tcPr>
            <w:tcW w:w="3000" w:type="pct"/>
          </w:tcPr>
          <w:p w14:paraId="1D7A393F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XX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的风险评估</w:t>
            </w:r>
          </w:p>
        </w:tc>
      </w:tr>
      <w:tr w:rsidR="007B6C48" w14:paraId="3F838E30" w14:textId="77777777">
        <w:tc>
          <w:tcPr>
            <w:tcW w:w="2000" w:type="pct"/>
            <w:shd w:val="solid" w:color="F5F5F5" w:fill="auto"/>
          </w:tcPr>
          <w:p w14:paraId="2C854DF7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每个风险点的具体内容</w:t>
            </w:r>
          </w:p>
        </w:tc>
        <w:tc>
          <w:tcPr>
            <w:tcW w:w="3000" w:type="pct"/>
            <w:shd w:val="solid" w:color="F5F5F5" w:fill="auto"/>
          </w:tcPr>
          <w:p w14:paraId="4286773F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对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XX </w:t>
            </w:r>
            <w:proofErr w:type="gramStart"/>
            <w:r>
              <w:rPr>
                <w:rFonts w:ascii="微软雅黑" w:eastAsia="微软雅黑" w:hAnsi="微软雅黑" w:cs="微软雅黑"/>
                <w:sz w:val="18"/>
                <w:szCs w:val="18"/>
              </w:rPr>
              <w:t>做风</w:t>
            </w:r>
            <w:proofErr w:type="gramEnd"/>
            <w:r>
              <w:rPr>
                <w:rFonts w:ascii="微软雅黑" w:eastAsia="微软雅黑" w:hAnsi="微软雅黑" w:cs="微软雅黑"/>
                <w:sz w:val="18"/>
                <w:szCs w:val="18"/>
              </w:rPr>
              <w:t>险扫描</w:t>
            </w:r>
          </w:p>
        </w:tc>
      </w:tr>
      <w:tr w:rsidR="007B6C48" w14:paraId="7CAAC32B" w14:textId="77777777">
        <w:tc>
          <w:tcPr>
            <w:tcW w:w="2000" w:type="pct"/>
          </w:tcPr>
          <w:p w14:paraId="7B01E2B5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企业有没有被执行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失信</w:t>
            </w:r>
          </w:p>
        </w:tc>
        <w:tc>
          <w:tcPr>
            <w:tcW w:w="3000" w:type="pct"/>
          </w:tcPr>
          <w:p w14:paraId="0DC52611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XX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的风险评估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→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查看合</w:t>
            </w:r>
            <w:proofErr w:type="gramStart"/>
            <w:r>
              <w:rPr>
                <w:rFonts w:ascii="微软雅黑" w:eastAsia="微软雅黑" w:hAnsi="微软雅黑" w:cs="微软雅黑"/>
                <w:sz w:val="18"/>
                <w:szCs w:val="18"/>
              </w:rPr>
              <w:t>规</w:t>
            </w:r>
            <w:proofErr w:type="gramEnd"/>
            <w:r>
              <w:rPr>
                <w:rFonts w:ascii="微软雅黑" w:eastAsia="微软雅黑" w:hAnsi="微软雅黑" w:cs="微软雅黑"/>
                <w:sz w:val="18"/>
                <w:szCs w:val="18"/>
              </w:rPr>
              <w:t>风险</w:t>
            </w:r>
          </w:p>
        </w:tc>
      </w:tr>
      <w:tr w:rsidR="007B6C48" w14:paraId="21E96721" w14:textId="77777777">
        <w:tc>
          <w:tcPr>
            <w:tcW w:w="2000" w:type="pct"/>
            <w:shd w:val="solid" w:color="F5F5F5" w:fill="auto"/>
          </w:tcPr>
          <w:p w14:paraId="24A35F99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股权有没有被冻结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质押</w:t>
            </w:r>
          </w:p>
        </w:tc>
        <w:tc>
          <w:tcPr>
            <w:tcW w:w="3000" w:type="pct"/>
            <w:shd w:val="solid" w:color="F5F5F5" w:fill="auto"/>
          </w:tcPr>
          <w:p w14:paraId="37D1CDA8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对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XX </w:t>
            </w:r>
            <w:proofErr w:type="gramStart"/>
            <w:r>
              <w:rPr>
                <w:rFonts w:ascii="微软雅黑" w:eastAsia="微软雅黑" w:hAnsi="微软雅黑" w:cs="微软雅黑"/>
                <w:sz w:val="18"/>
                <w:szCs w:val="18"/>
              </w:rPr>
              <w:t>做风</w:t>
            </w:r>
            <w:proofErr w:type="gramEnd"/>
            <w:r>
              <w:rPr>
                <w:rFonts w:ascii="微软雅黑" w:eastAsia="微软雅黑" w:hAnsi="微软雅黑" w:cs="微软雅黑"/>
                <w:sz w:val="18"/>
                <w:szCs w:val="18"/>
              </w:rPr>
              <w:t>险扫描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→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查看财务风险详情</w:t>
            </w:r>
          </w:p>
        </w:tc>
      </w:tr>
      <w:tr w:rsidR="007B6C48" w14:paraId="764FAA96" w14:textId="77777777">
        <w:tc>
          <w:tcPr>
            <w:tcW w:w="2000" w:type="pct"/>
          </w:tcPr>
          <w:p w14:paraId="066851DE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关联方有没有风险传染</w:t>
            </w:r>
          </w:p>
        </w:tc>
        <w:tc>
          <w:tcPr>
            <w:tcW w:w="3000" w:type="pct"/>
          </w:tcPr>
          <w:p w14:paraId="0767EAD0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对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XX </w:t>
            </w:r>
            <w:proofErr w:type="gramStart"/>
            <w:r>
              <w:rPr>
                <w:rFonts w:ascii="微软雅黑" w:eastAsia="微软雅黑" w:hAnsi="微软雅黑" w:cs="微软雅黑"/>
                <w:sz w:val="18"/>
                <w:szCs w:val="18"/>
              </w:rPr>
              <w:t>做风</w:t>
            </w:r>
            <w:proofErr w:type="gramEnd"/>
            <w:r>
              <w:rPr>
                <w:rFonts w:ascii="微软雅黑" w:eastAsia="微软雅黑" w:hAnsi="微软雅黑" w:cs="微软雅黑"/>
                <w:sz w:val="18"/>
                <w:szCs w:val="18"/>
              </w:rPr>
              <w:t>险扫描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→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查看关联风险详情</w:t>
            </w:r>
          </w:p>
        </w:tc>
      </w:tr>
      <w:tr w:rsidR="007B6C48" w14:paraId="489BA315" w14:textId="77777777">
        <w:tc>
          <w:tcPr>
            <w:tcW w:w="2000" w:type="pct"/>
            <w:shd w:val="solid" w:color="F5F5F5" w:fill="auto"/>
          </w:tcPr>
          <w:p w14:paraId="703A02C8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对比两家企业的风险</w:t>
            </w:r>
          </w:p>
        </w:tc>
        <w:tc>
          <w:tcPr>
            <w:tcW w:w="3000" w:type="pct"/>
            <w:shd w:val="solid" w:color="F5F5F5" w:fill="auto"/>
          </w:tcPr>
          <w:p w14:paraId="58E8126A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对比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A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和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B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的风险</w:t>
            </w:r>
          </w:p>
        </w:tc>
      </w:tr>
      <w:tr w:rsidR="007B6C48" w14:paraId="354A2E3A" w14:textId="77777777">
        <w:tc>
          <w:tcPr>
            <w:tcW w:w="2000" w:type="pct"/>
          </w:tcPr>
          <w:p w14:paraId="37AF22C5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风险全景（评估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+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扫描）</w:t>
            </w:r>
          </w:p>
        </w:tc>
        <w:tc>
          <w:tcPr>
            <w:tcW w:w="3000" w:type="pct"/>
          </w:tcPr>
          <w:p w14:paraId="10C7F18D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XX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的风险全景</w:t>
            </w:r>
          </w:p>
        </w:tc>
      </w:tr>
    </w:tbl>
    <w:p w14:paraId="715D7A72" w14:textId="77777777" w:rsidR="007B6C48" w:rsidRDefault="007B6C48">
      <w:pPr>
        <w:spacing w:after="200"/>
      </w:pPr>
    </w:p>
    <w:p w14:paraId="3F3FD6AD" w14:textId="77777777" w:rsidR="007B6C48" w:rsidRDefault="00B2052E">
      <w:pPr>
        <w:pStyle w:val="1"/>
        <w:spacing w:before="360" w:after="200"/>
      </w:pP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4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 xml:space="preserve">. 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注意事项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5862"/>
      </w:tblGrid>
      <w:tr w:rsidR="007B6C48" w14:paraId="7146EFAE" w14:textId="77777777">
        <w:tc>
          <w:tcPr>
            <w:tcW w:w="1749" w:type="pct"/>
            <w:shd w:val="solid" w:color="00694A" w:fill="auto"/>
          </w:tcPr>
          <w:p w14:paraId="6CE10687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事项</w:t>
            </w:r>
          </w:p>
        </w:tc>
        <w:tc>
          <w:tcPr>
            <w:tcW w:w="3250" w:type="pct"/>
            <w:shd w:val="solid" w:color="00694A" w:fill="auto"/>
          </w:tcPr>
          <w:p w14:paraId="6A01F132" w14:textId="77777777" w:rsidR="007B6C48" w:rsidRDefault="00B2052E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:rsidR="007B6C48" w14:paraId="6802AE07" w14:textId="77777777">
        <w:tc>
          <w:tcPr>
            <w:tcW w:w="1749" w:type="pct"/>
            <w:shd w:val="solid" w:color="F5F5F5" w:fill="auto"/>
          </w:tcPr>
          <w:p w14:paraId="527F3A5C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风险评分基于公开数据</w:t>
            </w:r>
          </w:p>
        </w:tc>
        <w:tc>
          <w:tcPr>
            <w:tcW w:w="3250" w:type="pct"/>
            <w:shd w:val="solid" w:color="F5F5F5" w:fill="auto"/>
          </w:tcPr>
          <w:p w14:paraId="24828E49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非公开的经营数据可能影响评分准确性</w:t>
            </w:r>
          </w:p>
        </w:tc>
      </w:tr>
      <w:tr w:rsidR="007B6C48" w14:paraId="60063293" w14:textId="77777777">
        <w:tc>
          <w:tcPr>
            <w:tcW w:w="1749" w:type="pct"/>
          </w:tcPr>
          <w:p w14:paraId="6E98BC96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关联风险是传染性风险</w:t>
            </w:r>
          </w:p>
        </w:tc>
        <w:tc>
          <w:tcPr>
            <w:tcW w:w="3250" w:type="pct"/>
          </w:tcPr>
          <w:p w14:paraId="32EB1799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关联方的风险不等于本企业风险，需结合关系紧密</w:t>
            </w:r>
            <w:proofErr w:type="gramStart"/>
            <w:r>
              <w:rPr>
                <w:rFonts w:ascii="微软雅黑" w:eastAsia="微软雅黑" w:hAnsi="微软雅黑" w:cs="微软雅黑"/>
                <w:sz w:val="18"/>
                <w:szCs w:val="18"/>
              </w:rPr>
              <w:t>度判断</w:t>
            </w:r>
            <w:proofErr w:type="gramEnd"/>
          </w:p>
        </w:tc>
      </w:tr>
      <w:tr w:rsidR="007B6C48" w14:paraId="71E08E4E" w14:textId="77777777">
        <w:tc>
          <w:tcPr>
            <w:tcW w:w="1749" w:type="pct"/>
            <w:shd w:val="solid" w:color="F5F5F5" w:fill="auto"/>
          </w:tcPr>
          <w:p w14:paraId="7C8A65FB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黑名单为多源汇聚</w:t>
            </w:r>
          </w:p>
        </w:tc>
        <w:tc>
          <w:tcPr>
            <w:tcW w:w="3250" w:type="pct"/>
            <w:shd w:val="solid" w:color="F5F5F5" w:fill="auto"/>
          </w:tcPr>
          <w:p w14:paraId="382A5201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各部门独立发布，移出时间可能不同步</w:t>
            </w:r>
          </w:p>
        </w:tc>
      </w:tr>
      <w:tr w:rsidR="007B6C48" w14:paraId="0A46FED8" w14:textId="77777777">
        <w:tc>
          <w:tcPr>
            <w:tcW w:w="1749" w:type="pct"/>
          </w:tcPr>
          <w:p w14:paraId="63C29729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建议定期复查</w:t>
            </w:r>
          </w:p>
        </w:tc>
        <w:tc>
          <w:tcPr>
            <w:tcW w:w="3250" w:type="pct"/>
          </w:tcPr>
          <w:p w14:paraId="473FA77B" w14:textId="77777777" w:rsidR="007B6C48" w:rsidRDefault="00B2052E">
            <w:pPr>
              <w:jc w:val="left"/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风险状态动态变化，建议定期重新评估</w:t>
            </w:r>
          </w:p>
        </w:tc>
      </w:tr>
    </w:tbl>
    <w:p w14:paraId="74755A01" w14:textId="77777777" w:rsidR="007B6C48" w:rsidRDefault="007B6C48">
      <w:pPr>
        <w:spacing w:after="200"/>
      </w:pPr>
    </w:p>
    <w:sectPr w:rsidR="007B6C4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48"/>
    <w:rsid w:val="007B6C48"/>
    <w:rsid w:val="00B2052E"/>
    <w:rsid w:val="09363922"/>
    <w:rsid w:val="0C917085"/>
    <w:rsid w:val="170560E7"/>
    <w:rsid w:val="202D6ADB"/>
    <w:rsid w:val="21E03559"/>
    <w:rsid w:val="27F858BC"/>
    <w:rsid w:val="28305237"/>
    <w:rsid w:val="29FB7699"/>
    <w:rsid w:val="2BAE350E"/>
    <w:rsid w:val="3E75078E"/>
    <w:rsid w:val="40BE7EB3"/>
    <w:rsid w:val="44910A36"/>
    <w:rsid w:val="49296B18"/>
    <w:rsid w:val="5CB5361C"/>
    <w:rsid w:val="60872950"/>
    <w:rsid w:val="79491F57"/>
    <w:rsid w:val="7B3E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DC54"/>
  <w15:docId w15:val="{D3383446-E1F9-4119-B10A-790B34A2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i/>
      <w:iCs/>
      <w:color w:val="2E74B5"/>
      <w:sz w:val="21"/>
      <w:szCs w:val="22"/>
    </w:rPr>
  </w:style>
  <w:style w:type="paragraph" w:styleId="5">
    <w:name w:val="heading 5"/>
    <w:next w:val="a"/>
    <w:qFormat/>
    <w:pPr>
      <w:outlineLvl w:val="4"/>
    </w:pPr>
    <w:rPr>
      <w:color w:val="2E74B5"/>
      <w:sz w:val="21"/>
      <w:szCs w:val="22"/>
    </w:rPr>
  </w:style>
  <w:style w:type="paragraph" w:styleId="6">
    <w:name w:val="heading 6"/>
    <w:next w:val="a"/>
    <w:qFormat/>
    <w:pPr>
      <w:outlineLvl w:val="5"/>
    </w:pPr>
    <w:rPr>
      <w:color w:val="1F4D78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link w:val="a4"/>
    <w:uiPriority w:val="99"/>
    <w:semiHidden/>
    <w:unhideWhenUsed/>
    <w:qFormat/>
  </w:style>
  <w:style w:type="paragraph" w:styleId="a5">
    <w:name w:val="footnote text"/>
    <w:link w:val="a6"/>
    <w:uiPriority w:val="99"/>
    <w:semiHidden/>
    <w:unhideWhenUsed/>
    <w:qFormat/>
  </w:style>
  <w:style w:type="paragraph" w:styleId="a7">
    <w:name w:val="Title"/>
    <w:qFormat/>
    <w:rPr>
      <w:sz w:val="56"/>
      <w:szCs w:val="56"/>
    </w:rPr>
  </w:style>
  <w:style w:type="character" w:styleId="a8">
    <w:name w:val="Strong"/>
    <w:basedOn w:val="a0"/>
    <w:qFormat/>
    <w:rPr>
      <w:b/>
    </w:rPr>
  </w:style>
  <w:style w:type="character" w:styleId="a9">
    <w:name w:val="endnote reference"/>
    <w:uiPriority w:val="99"/>
    <w:semiHidden/>
    <w:unhideWhenUsed/>
    <w:qFormat/>
    <w:rPr>
      <w:vertAlign w:val="superscript"/>
    </w:rPr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character" w:styleId="ab">
    <w:name w:val="footnote reference"/>
    <w:uiPriority w:val="99"/>
    <w:semiHidden/>
    <w:unhideWhenUsed/>
    <w:qFormat/>
    <w:rPr>
      <w:vertAlign w:val="superscript"/>
    </w:rPr>
  </w:style>
  <w:style w:type="paragraph" w:styleId="ac">
    <w:name w:val="List Paragraph"/>
    <w:qFormat/>
    <w:rPr>
      <w:sz w:val="21"/>
      <w:szCs w:val="22"/>
    </w:rPr>
  </w:style>
  <w:style w:type="character" w:customStyle="1" w:styleId="a6">
    <w:name w:val="脚注文本 字符"/>
    <w:link w:val="a5"/>
    <w:uiPriority w:val="99"/>
    <w:semiHidden/>
    <w:unhideWhenUsed/>
    <w:qFormat/>
    <w:rPr>
      <w:sz w:val="20"/>
      <w:szCs w:val="20"/>
    </w:rPr>
  </w:style>
  <w:style w:type="character" w:customStyle="1" w:styleId="a4">
    <w:name w:val="尾注文本 字符"/>
    <w:link w:val="a3"/>
    <w:uiPriority w:val="99"/>
    <w:semiHidden/>
    <w:unhideWhenUsed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3</cp:revision>
  <dcterms:created xsi:type="dcterms:W3CDTF">2026-05-09T02:00:00Z</dcterms:created>
  <dcterms:modified xsi:type="dcterms:W3CDTF">2026-05-27T03:40:00Z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eyJoZGlkIjoiYjVlMzMzN2ViN2YxZTFlOGNiMWEwNWJmOTZjNTI2YmMiLCJ1c2VySWQiOiIxMjg1Mjg3MDYxIn0=</vt:lpwstr>
  </property>
  <property fmtid="{D5CDD505-2E9C-101B-9397-08002B2CF9AE}" pid="3" name="KSOProductBuildVer">
    <vt:lpwstr>2052-12.1.0.26375</vt:lpwstr>
  </property>
  <property fmtid="{D5CDD505-2E9C-101B-9397-08002B2CF9AE}" pid="4" name="ICV">
    <vt:lpwstr>AE051DCCACA44C31BF3179780F14A584_12</vt:lpwstr>
  </property>
</Properties>
</file>